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E06" w:rsidRDefault="001B0066" w:rsidP="001B0066">
      <w:pPr>
        <w:spacing w:after="0" w:line="240" w:lineRule="auto"/>
        <w:ind w:hanging="900"/>
        <w:rPr>
          <w:rFonts w:ascii="Arial" w:eastAsia="Times New Roman" w:hAnsi="Arial" w:cs="Arial"/>
          <w:b/>
          <w:bCs/>
          <w:color w:val="000000"/>
          <w:sz w:val="24"/>
          <w:szCs w:val="24"/>
        </w:rPr>
      </w:pPr>
      <w:r>
        <w:rPr>
          <w:rFonts w:ascii="Times New Roman" w:eastAsia="Times New Roman" w:hAnsi="Times New Roman" w:cs="Times New Roman"/>
          <w:noProof/>
          <w:sz w:val="24"/>
          <w:szCs w:val="24"/>
        </w:rPr>
        <w:drawing>
          <wp:inline distT="0" distB="0" distL="0" distR="0">
            <wp:extent cx="7267575" cy="1371600"/>
            <wp:effectExtent l="19050" t="0" r="9525" b="0"/>
            <wp:docPr id="1" name="internal-source-marker_0.48140737110234594" descr="https://lh6.googleusercontent.com/9mvf6lkbgyUaRI3rykpQw_FkwlFR7_QHfL_2mHsJ3nDAy_oS_adZ4eac5KEqR5r1tJE0gkj8nrnOI8EJONN1a2LFUA1IcahNTXzB0xwJ4rTOyo98RSpWl17PCw2za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source-marker_0.48140737110234594" descr="https://lh6.googleusercontent.com/9mvf6lkbgyUaRI3rykpQw_FkwlFR7_QHfL_2mHsJ3nDAy_oS_adZ4eac5KEqR5r1tJE0gkj8nrnOI8EJONN1a2LFUA1IcahNTXzB0xwJ4rTOyo98RSpWl17PCw2zaEI"/>
                    <pic:cNvPicPr>
                      <a:picLocks noChangeAspect="1" noChangeArrowheads="1"/>
                    </pic:cNvPicPr>
                  </pic:nvPicPr>
                  <pic:blipFill>
                    <a:blip r:embed="rId7" cstate="print"/>
                    <a:srcRect/>
                    <a:stretch>
                      <a:fillRect/>
                    </a:stretch>
                  </pic:blipFill>
                  <pic:spPr bwMode="auto">
                    <a:xfrm>
                      <a:off x="0" y="0"/>
                      <a:ext cx="7267575" cy="1371600"/>
                    </a:xfrm>
                    <a:prstGeom prst="rect">
                      <a:avLst/>
                    </a:prstGeom>
                    <a:noFill/>
                    <a:ln w="9525">
                      <a:noFill/>
                      <a:miter lim="800000"/>
                      <a:headEnd/>
                      <a:tailEnd/>
                    </a:ln>
                  </pic:spPr>
                </pic:pic>
              </a:graphicData>
            </a:graphic>
          </wp:inline>
        </w:drawing>
      </w:r>
      <w:r w:rsidRPr="001B0066">
        <w:rPr>
          <w:rFonts w:ascii="Times New Roman" w:eastAsia="Times New Roman" w:hAnsi="Times New Roman" w:cs="Times New Roman"/>
          <w:sz w:val="24"/>
          <w:szCs w:val="24"/>
        </w:rPr>
        <w:br/>
      </w:r>
      <w:r w:rsidRPr="001B0066">
        <w:rPr>
          <w:rFonts w:ascii="Arial" w:eastAsia="Times New Roman" w:hAnsi="Arial" w:cs="Arial"/>
          <w:color w:val="000000"/>
          <w:sz w:val="24"/>
          <w:szCs w:val="24"/>
        </w:rPr>
        <w:t xml:space="preserve">August </w:t>
      </w:r>
      <w:r w:rsidR="00AF112A">
        <w:rPr>
          <w:rFonts w:ascii="Arial" w:eastAsia="Times New Roman" w:hAnsi="Arial" w:cs="Arial"/>
          <w:color w:val="000000"/>
          <w:sz w:val="24"/>
          <w:szCs w:val="24"/>
        </w:rPr>
        <w:t>31</w:t>
      </w:r>
      <w:r w:rsidRPr="001B0066">
        <w:rPr>
          <w:rFonts w:ascii="Arial" w:eastAsia="Times New Roman" w:hAnsi="Arial" w:cs="Arial"/>
          <w:color w:val="000000"/>
          <w:sz w:val="24"/>
          <w:szCs w:val="24"/>
        </w:rPr>
        <w:t>, 2010</w:t>
      </w:r>
      <w:r w:rsidRPr="001B0066">
        <w:rPr>
          <w:rFonts w:ascii="Times New Roman" w:eastAsia="Times New Roman" w:hAnsi="Times New Roman" w:cs="Times New Roman"/>
          <w:sz w:val="24"/>
          <w:szCs w:val="24"/>
        </w:rPr>
        <w:br/>
      </w:r>
      <w:r w:rsidRPr="001B0066">
        <w:rPr>
          <w:rFonts w:ascii="Times New Roman" w:eastAsia="Times New Roman" w:hAnsi="Times New Roman" w:cs="Times New Roman"/>
          <w:sz w:val="24"/>
          <w:szCs w:val="24"/>
        </w:rPr>
        <w:br/>
      </w:r>
      <w:r w:rsidRPr="001B0066">
        <w:rPr>
          <w:rFonts w:ascii="Arial" w:eastAsia="Times New Roman" w:hAnsi="Arial" w:cs="Arial"/>
          <w:color w:val="000000"/>
          <w:sz w:val="24"/>
          <w:szCs w:val="24"/>
        </w:rPr>
        <w:t>Donald Berwick, MD</w:t>
      </w:r>
      <w:r w:rsidRPr="001B0066">
        <w:rPr>
          <w:rFonts w:ascii="Times New Roman" w:eastAsia="Times New Roman" w:hAnsi="Times New Roman" w:cs="Times New Roman"/>
          <w:sz w:val="24"/>
          <w:szCs w:val="24"/>
        </w:rPr>
        <w:br/>
      </w:r>
      <w:r w:rsidRPr="001B0066">
        <w:rPr>
          <w:rFonts w:ascii="Arial" w:eastAsia="Times New Roman" w:hAnsi="Arial" w:cs="Arial"/>
          <w:color w:val="000000"/>
          <w:sz w:val="24"/>
          <w:szCs w:val="24"/>
        </w:rPr>
        <w:t>Administrator</w:t>
      </w:r>
      <w:r w:rsidRPr="001B0066">
        <w:rPr>
          <w:rFonts w:ascii="Times New Roman" w:eastAsia="Times New Roman" w:hAnsi="Times New Roman" w:cs="Times New Roman"/>
          <w:sz w:val="24"/>
          <w:szCs w:val="24"/>
        </w:rPr>
        <w:br/>
      </w:r>
      <w:r w:rsidRPr="001B0066">
        <w:rPr>
          <w:rFonts w:ascii="Arial" w:eastAsia="Times New Roman" w:hAnsi="Arial" w:cs="Arial"/>
          <w:color w:val="000000"/>
          <w:sz w:val="24"/>
          <w:szCs w:val="24"/>
        </w:rPr>
        <w:t>Centers for Medicare &amp; Medicaid Services</w:t>
      </w:r>
      <w:r w:rsidRPr="001B0066">
        <w:rPr>
          <w:rFonts w:ascii="Times New Roman" w:eastAsia="Times New Roman" w:hAnsi="Times New Roman" w:cs="Times New Roman"/>
          <w:sz w:val="24"/>
          <w:szCs w:val="24"/>
        </w:rPr>
        <w:br/>
      </w:r>
      <w:r w:rsidRPr="001B0066">
        <w:rPr>
          <w:rFonts w:ascii="Arial" w:eastAsia="Times New Roman" w:hAnsi="Arial" w:cs="Arial"/>
          <w:color w:val="000000"/>
          <w:sz w:val="24"/>
          <w:szCs w:val="24"/>
        </w:rPr>
        <w:t>Department of Health &amp;Human Services</w:t>
      </w:r>
      <w:r w:rsidRPr="001B0066">
        <w:rPr>
          <w:rFonts w:ascii="Times New Roman" w:eastAsia="Times New Roman" w:hAnsi="Times New Roman" w:cs="Times New Roman"/>
          <w:sz w:val="24"/>
          <w:szCs w:val="24"/>
        </w:rPr>
        <w:br/>
      </w:r>
      <w:r w:rsidRPr="001B0066">
        <w:rPr>
          <w:rFonts w:ascii="Arial" w:eastAsia="Times New Roman" w:hAnsi="Arial" w:cs="Arial"/>
          <w:color w:val="000000"/>
          <w:sz w:val="24"/>
          <w:szCs w:val="24"/>
        </w:rPr>
        <w:t>Attention:  CMS</w:t>
      </w:r>
      <w:r w:rsidR="001A3E06">
        <w:rPr>
          <w:rFonts w:ascii="Arial" w:eastAsia="Times New Roman" w:hAnsi="Arial" w:cs="Arial"/>
          <w:color w:val="000000"/>
          <w:sz w:val="24"/>
          <w:szCs w:val="24"/>
        </w:rPr>
        <w:t>-</w:t>
      </w:r>
      <w:r w:rsidRPr="001B0066">
        <w:rPr>
          <w:rFonts w:ascii="Arial" w:eastAsia="Times New Roman" w:hAnsi="Arial" w:cs="Arial"/>
          <w:color w:val="000000"/>
          <w:sz w:val="24"/>
          <w:szCs w:val="24"/>
        </w:rPr>
        <w:t>150</w:t>
      </w:r>
      <w:r w:rsidR="001A3E06">
        <w:rPr>
          <w:rFonts w:ascii="Arial" w:eastAsia="Times New Roman" w:hAnsi="Arial" w:cs="Arial"/>
          <w:color w:val="000000"/>
          <w:sz w:val="24"/>
          <w:szCs w:val="24"/>
        </w:rPr>
        <w:t>4</w:t>
      </w:r>
      <w:r w:rsidRPr="001B0066">
        <w:rPr>
          <w:rFonts w:ascii="Arial" w:eastAsia="Times New Roman" w:hAnsi="Arial" w:cs="Arial"/>
          <w:color w:val="000000"/>
          <w:sz w:val="24"/>
          <w:szCs w:val="24"/>
        </w:rPr>
        <w:t>-P</w:t>
      </w:r>
      <w:r w:rsidRPr="001B0066">
        <w:rPr>
          <w:rFonts w:ascii="Times New Roman" w:eastAsia="Times New Roman" w:hAnsi="Times New Roman" w:cs="Times New Roman"/>
          <w:sz w:val="24"/>
          <w:szCs w:val="24"/>
        </w:rPr>
        <w:br/>
      </w:r>
      <w:r w:rsidRPr="001B0066">
        <w:rPr>
          <w:rFonts w:ascii="Arial" w:eastAsia="Times New Roman" w:hAnsi="Arial" w:cs="Arial"/>
          <w:color w:val="000000"/>
          <w:sz w:val="24"/>
          <w:szCs w:val="24"/>
        </w:rPr>
        <w:t>P.O. Box 8013</w:t>
      </w:r>
      <w:r w:rsidRPr="001B0066">
        <w:rPr>
          <w:rFonts w:ascii="Times New Roman" w:eastAsia="Times New Roman" w:hAnsi="Times New Roman" w:cs="Times New Roman"/>
          <w:sz w:val="24"/>
          <w:szCs w:val="24"/>
        </w:rPr>
        <w:br/>
      </w:r>
      <w:r w:rsidRPr="001B0066">
        <w:rPr>
          <w:rFonts w:ascii="Arial" w:eastAsia="Times New Roman" w:hAnsi="Arial" w:cs="Arial"/>
          <w:color w:val="000000"/>
          <w:sz w:val="24"/>
          <w:szCs w:val="24"/>
        </w:rPr>
        <w:t>Baltimore, MD 21244-</w:t>
      </w:r>
      <w:r w:rsidR="001A3E06">
        <w:rPr>
          <w:rFonts w:ascii="Arial" w:eastAsia="Times New Roman" w:hAnsi="Arial" w:cs="Arial"/>
          <w:color w:val="000000"/>
          <w:sz w:val="24"/>
          <w:szCs w:val="24"/>
        </w:rPr>
        <w:t>1850</w:t>
      </w:r>
      <w:r w:rsidRPr="001B0066">
        <w:rPr>
          <w:rFonts w:ascii="Times New Roman" w:eastAsia="Times New Roman" w:hAnsi="Times New Roman" w:cs="Times New Roman"/>
          <w:sz w:val="24"/>
          <w:szCs w:val="24"/>
        </w:rPr>
        <w:br/>
      </w:r>
      <w:r w:rsidRPr="001B0066">
        <w:rPr>
          <w:rFonts w:ascii="Times New Roman" w:eastAsia="Times New Roman" w:hAnsi="Times New Roman" w:cs="Times New Roman"/>
          <w:sz w:val="24"/>
          <w:szCs w:val="24"/>
        </w:rPr>
        <w:br/>
      </w:r>
      <w:r w:rsidRPr="001B0066">
        <w:rPr>
          <w:rFonts w:ascii="Arial" w:eastAsia="Times New Roman" w:hAnsi="Arial" w:cs="Arial"/>
          <w:color w:val="000000"/>
          <w:sz w:val="24"/>
          <w:szCs w:val="24"/>
        </w:rPr>
        <w:t xml:space="preserve">Submitted electronically to </w:t>
      </w:r>
      <w:hyperlink r:id="rId8" w:history="1">
        <w:r w:rsidRPr="001B0066">
          <w:rPr>
            <w:rFonts w:ascii="Arial" w:eastAsia="Times New Roman" w:hAnsi="Arial" w:cs="Arial"/>
            <w:color w:val="0000FF"/>
            <w:sz w:val="24"/>
            <w:szCs w:val="24"/>
            <w:u w:val="single"/>
          </w:rPr>
          <w:t>http://www.regulations.gov</w:t>
        </w:r>
      </w:hyperlink>
      <w:r w:rsidRPr="001B0066">
        <w:rPr>
          <w:rFonts w:ascii="Arial" w:eastAsia="Times New Roman" w:hAnsi="Arial" w:cs="Arial"/>
          <w:color w:val="000000"/>
          <w:sz w:val="24"/>
          <w:szCs w:val="24"/>
        </w:rPr>
        <w:t xml:space="preserve"> </w:t>
      </w:r>
      <w:r w:rsidRPr="001B0066">
        <w:rPr>
          <w:rFonts w:ascii="Times New Roman" w:eastAsia="Times New Roman" w:hAnsi="Times New Roman" w:cs="Times New Roman"/>
          <w:sz w:val="24"/>
          <w:szCs w:val="24"/>
        </w:rPr>
        <w:br/>
      </w:r>
      <w:r w:rsidRPr="001B0066">
        <w:rPr>
          <w:rFonts w:ascii="Times New Roman" w:eastAsia="Times New Roman" w:hAnsi="Times New Roman" w:cs="Times New Roman"/>
          <w:sz w:val="24"/>
          <w:szCs w:val="24"/>
        </w:rPr>
        <w:br/>
      </w:r>
      <w:r w:rsidRPr="001B0066">
        <w:rPr>
          <w:rFonts w:ascii="Arial" w:eastAsia="Times New Roman" w:hAnsi="Arial" w:cs="Arial"/>
          <w:color w:val="000000"/>
          <w:sz w:val="24"/>
          <w:szCs w:val="24"/>
        </w:rPr>
        <w:t xml:space="preserve">Re:    </w:t>
      </w:r>
      <w:r w:rsidR="001A3E06">
        <w:rPr>
          <w:rFonts w:ascii="Arial" w:eastAsia="Times New Roman" w:hAnsi="Arial" w:cs="Arial"/>
          <w:color w:val="000000"/>
          <w:sz w:val="24"/>
          <w:szCs w:val="24"/>
        </w:rPr>
        <w:tab/>
      </w:r>
      <w:r w:rsidRPr="001B0066">
        <w:rPr>
          <w:rFonts w:ascii="Arial" w:eastAsia="Times New Roman" w:hAnsi="Arial" w:cs="Arial"/>
          <w:b/>
          <w:bCs/>
          <w:color w:val="000000"/>
          <w:sz w:val="24"/>
          <w:szCs w:val="24"/>
        </w:rPr>
        <w:t>Medicare Program</w:t>
      </w:r>
      <w:r w:rsidR="001A3E06">
        <w:rPr>
          <w:rFonts w:ascii="Arial" w:eastAsia="Times New Roman" w:hAnsi="Arial" w:cs="Arial"/>
          <w:b/>
          <w:bCs/>
          <w:color w:val="000000"/>
          <w:sz w:val="24"/>
          <w:szCs w:val="24"/>
        </w:rPr>
        <w:t xml:space="preserve">: Changes to the Hospital Outpatient Prospective </w:t>
      </w:r>
    </w:p>
    <w:p w:rsidR="0085049D" w:rsidRDefault="001B0066" w:rsidP="001A3E06">
      <w:pPr>
        <w:spacing w:after="0" w:line="240" w:lineRule="auto"/>
        <w:ind w:left="720"/>
        <w:rPr>
          <w:rFonts w:ascii="Arial" w:eastAsia="Times New Roman" w:hAnsi="Arial" w:cs="Arial"/>
          <w:color w:val="000000"/>
          <w:sz w:val="24"/>
          <w:szCs w:val="24"/>
        </w:rPr>
      </w:pPr>
      <w:r w:rsidRPr="001B0066">
        <w:rPr>
          <w:rFonts w:ascii="Arial" w:eastAsia="Times New Roman" w:hAnsi="Arial" w:cs="Arial"/>
          <w:b/>
          <w:bCs/>
          <w:color w:val="000000"/>
          <w:sz w:val="24"/>
          <w:szCs w:val="24"/>
        </w:rPr>
        <w:t xml:space="preserve">Payment </w:t>
      </w:r>
      <w:r w:rsidR="001A3E06">
        <w:rPr>
          <w:rFonts w:ascii="Arial" w:eastAsia="Times New Roman" w:hAnsi="Arial" w:cs="Arial"/>
          <w:b/>
          <w:bCs/>
          <w:color w:val="000000"/>
          <w:sz w:val="24"/>
          <w:szCs w:val="24"/>
        </w:rPr>
        <w:t>System and CY 2010 Payment Rates; Changes to the Ambulatory Surgical Center Payment System and CY 2010 Payment Rates; Corrections; Final Rule, Notice, and Proposed Rule</w:t>
      </w:r>
      <w:r w:rsidRPr="001B0066">
        <w:rPr>
          <w:rFonts w:ascii="Arial" w:eastAsia="Times New Roman" w:hAnsi="Arial" w:cs="Arial"/>
          <w:b/>
          <w:bCs/>
          <w:color w:val="000000"/>
          <w:sz w:val="24"/>
          <w:szCs w:val="24"/>
        </w:rPr>
        <w:t>.</w:t>
      </w:r>
      <w:r w:rsidR="0085049D">
        <w:rPr>
          <w:rFonts w:ascii="Arial" w:eastAsia="Times New Roman" w:hAnsi="Arial" w:cs="Arial"/>
          <w:b/>
          <w:bCs/>
          <w:color w:val="000000"/>
          <w:sz w:val="24"/>
          <w:szCs w:val="24"/>
        </w:rPr>
        <w:t xml:space="preserve">  </w:t>
      </w:r>
      <w:proofErr w:type="gramStart"/>
      <w:r w:rsidRPr="001B0066">
        <w:rPr>
          <w:rFonts w:ascii="Arial" w:eastAsia="Times New Roman" w:hAnsi="Arial" w:cs="Arial"/>
          <w:color w:val="000000"/>
          <w:sz w:val="24"/>
          <w:szCs w:val="24"/>
        </w:rPr>
        <w:t>CMS-150</w:t>
      </w:r>
      <w:r w:rsidR="001A3E06">
        <w:rPr>
          <w:rFonts w:ascii="Arial" w:eastAsia="Times New Roman" w:hAnsi="Arial" w:cs="Arial"/>
          <w:color w:val="000000"/>
          <w:sz w:val="24"/>
          <w:szCs w:val="24"/>
        </w:rPr>
        <w:t>4</w:t>
      </w:r>
      <w:r w:rsidRPr="001B0066">
        <w:rPr>
          <w:rFonts w:ascii="Arial" w:eastAsia="Times New Roman" w:hAnsi="Arial" w:cs="Arial"/>
          <w:color w:val="000000"/>
          <w:sz w:val="24"/>
          <w:szCs w:val="24"/>
        </w:rPr>
        <w:t>-P; RIN 0938-AP</w:t>
      </w:r>
      <w:r w:rsidR="00F07BF3">
        <w:rPr>
          <w:rFonts w:ascii="Arial" w:eastAsia="Times New Roman" w:hAnsi="Arial" w:cs="Arial"/>
          <w:color w:val="000000"/>
          <w:sz w:val="24"/>
          <w:szCs w:val="24"/>
        </w:rPr>
        <w:t>82.</w:t>
      </w:r>
      <w:proofErr w:type="gramEnd"/>
      <w:r w:rsidR="00F07BF3">
        <w:rPr>
          <w:rFonts w:ascii="Arial" w:eastAsia="Times New Roman" w:hAnsi="Arial" w:cs="Arial"/>
          <w:color w:val="000000"/>
          <w:sz w:val="24"/>
          <w:szCs w:val="24"/>
        </w:rPr>
        <w:t xml:space="preserve"> </w:t>
      </w:r>
    </w:p>
    <w:p w:rsidR="001A3E06" w:rsidRDefault="001A3E06" w:rsidP="001A3E06">
      <w:pPr>
        <w:spacing w:after="0" w:line="240" w:lineRule="auto"/>
        <w:ind w:left="720"/>
        <w:rPr>
          <w:rFonts w:ascii="Times New Roman" w:eastAsia="Times New Roman" w:hAnsi="Times New Roman" w:cs="Times New Roman"/>
          <w:sz w:val="24"/>
          <w:szCs w:val="24"/>
        </w:rPr>
      </w:pPr>
      <w:r>
        <w:rPr>
          <w:rFonts w:ascii="Arial" w:eastAsia="Times New Roman" w:hAnsi="Arial" w:cs="Arial"/>
          <w:color w:val="000000"/>
          <w:sz w:val="24"/>
          <w:szCs w:val="24"/>
        </w:rPr>
        <w:t xml:space="preserve">75 </w:t>
      </w:r>
      <w:proofErr w:type="spellStart"/>
      <w:r>
        <w:rPr>
          <w:rFonts w:ascii="Arial" w:eastAsia="Times New Roman" w:hAnsi="Arial" w:cs="Arial"/>
          <w:color w:val="000000"/>
          <w:sz w:val="24"/>
          <w:szCs w:val="24"/>
        </w:rPr>
        <w:t>Fed.Reg</w:t>
      </w:r>
      <w:proofErr w:type="spellEnd"/>
      <w:r>
        <w:rPr>
          <w:rFonts w:ascii="Arial" w:eastAsia="Times New Roman" w:hAnsi="Arial" w:cs="Arial"/>
          <w:color w:val="000000"/>
          <w:sz w:val="24"/>
          <w:szCs w:val="24"/>
        </w:rPr>
        <w:t>. 46169</w:t>
      </w:r>
      <w:r w:rsidR="001B0066" w:rsidRPr="001B0066">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August 3, </w:t>
      </w:r>
      <w:r w:rsidR="001B0066" w:rsidRPr="001B0066">
        <w:rPr>
          <w:rFonts w:ascii="Arial" w:eastAsia="Times New Roman" w:hAnsi="Arial" w:cs="Arial"/>
          <w:color w:val="000000"/>
          <w:sz w:val="24"/>
          <w:szCs w:val="24"/>
        </w:rPr>
        <w:t>2010)</w:t>
      </w:r>
      <w:r w:rsidR="001B0066" w:rsidRPr="001B0066">
        <w:rPr>
          <w:rFonts w:ascii="Times New Roman" w:eastAsia="Times New Roman" w:hAnsi="Times New Roman" w:cs="Times New Roman"/>
          <w:sz w:val="24"/>
          <w:szCs w:val="24"/>
        </w:rPr>
        <w:br/>
      </w:r>
    </w:p>
    <w:p w:rsidR="00F07BF3" w:rsidRDefault="001B0066" w:rsidP="001A3E06">
      <w:pPr>
        <w:spacing w:after="0" w:line="240" w:lineRule="auto"/>
        <w:rPr>
          <w:rFonts w:ascii="Arial" w:eastAsia="Times New Roman" w:hAnsi="Arial" w:cs="Arial"/>
          <w:color w:val="000000"/>
          <w:sz w:val="24"/>
          <w:szCs w:val="24"/>
        </w:rPr>
      </w:pPr>
      <w:r w:rsidRPr="001B0066">
        <w:rPr>
          <w:rFonts w:ascii="Arial" w:eastAsia="Times New Roman" w:hAnsi="Arial" w:cs="Arial"/>
          <w:color w:val="000000"/>
          <w:sz w:val="24"/>
          <w:szCs w:val="24"/>
        </w:rPr>
        <w:t>Dear Administrator Berwick:</w:t>
      </w:r>
      <w:r w:rsidRPr="001B0066">
        <w:rPr>
          <w:rFonts w:ascii="Times New Roman" w:eastAsia="Times New Roman" w:hAnsi="Times New Roman" w:cs="Times New Roman"/>
          <w:sz w:val="24"/>
          <w:szCs w:val="24"/>
        </w:rPr>
        <w:br/>
      </w:r>
      <w:r w:rsidRPr="001B0066">
        <w:rPr>
          <w:rFonts w:ascii="Times New Roman" w:eastAsia="Times New Roman" w:hAnsi="Times New Roman" w:cs="Times New Roman"/>
          <w:sz w:val="24"/>
          <w:szCs w:val="24"/>
        </w:rPr>
        <w:br/>
      </w:r>
      <w:r w:rsidRPr="001B0066">
        <w:rPr>
          <w:rFonts w:ascii="Arial" w:eastAsia="Times New Roman" w:hAnsi="Arial" w:cs="Arial"/>
          <w:color w:val="000000"/>
          <w:sz w:val="24"/>
          <w:szCs w:val="24"/>
        </w:rPr>
        <w:t>The American Nurses Association (ANA) welcomes the opportunity to offer comments on th</w:t>
      </w:r>
      <w:r w:rsidR="0056625D">
        <w:rPr>
          <w:rFonts w:ascii="Arial" w:eastAsia="Times New Roman" w:hAnsi="Arial" w:cs="Arial"/>
          <w:color w:val="000000"/>
          <w:sz w:val="24"/>
          <w:szCs w:val="24"/>
        </w:rPr>
        <w:t>e</w:t>
      </w:r>
      <w:r w:rsidRPr="001B0066">
        <w:rPr>
          <w:rFonts w:ascii="Arial" w:eastAsia="Times New Roman" w:hAnsi="Arial" w:cs="Arial"/>
          <w:color w:val="000000"/>
          <w:sz w:val="24"/>
          <w:szCs w:val="24"/>
        </w:rPr>
        <w:t xml:space="preserve"> proposed </w:t>
      </w:r>
      <w:r w:rsidR="00F07BF3">
        <w:rPr>
          <w:rFonts w:ascii="Arial" w:eastAsia="Times New Roman" w:hAnsi="Arial" w:cs="Arial"/>
          <w:color w:val="000000"/>
          <w:sz w:val="24"/>
          <w:szCs w:val="24"/>
        </w:rPr>
        <w:t xml:space="preserve">Medicare </w:t>
      </w:r>
      <w:r w:rsidRPr="001B0066">
        <w:rPr>
          <w:rFonts w:ascii="Arial" w:eastAsia="Times New Roman" w:hAnsi="Arial" w:cs="Arial"/>
          <w:color w:val="000000"/>
          <w:sz w:val="24"/>
          <w:szCs w:val="24"/>
        </w:rPr>
        <w:t>rule</w:t>
      </w:r>
      <w:r w:rsidR="00F07BF3">
        <w:rPr>
          <w:rFonts w:ascii="Arial" w:eastAsia="Times New Roman" w:hAnsi="Arial" w:cs="Arial"/>
          <w:color w:val="000000"/>
          <w:sz w:val="24"/>
          <w:szCs w:val="24"/>
        </w:rPr>
        <w:t xml:space="preserve">s for the Hospital Outpatient Prospective Payment System (OPPS) and Ambulatory Surgical Center Payment System (ASCPS).  </w:t>
      </w:r>
    </w:p>
    <w:p w:rsidR="00F07BF3" w:rsidRDefault="00F07BF3" w:rsidP="001A3E06">
      <w:pPr>
        <w:spacing w:after="0" w:line="240" w:lineRule="auto"/>
        <w:rPr>
          <w:rFonts w:ascii="Arial" w:eastAsia="Times New Roman" w:hAnsi="Arial" w:cs="Arial"/>
          <w:color w:val="000000"/>
          <w:sz w:val="24"/>
          <w:szCs w:val="24"/>
        </w:rPr>
      </w:pPr>
    </w:p>
    <w:p w:rsidR="00DD6FB2" w:rsidRDefault="001B0066" w:rsidP="001A3E06">
      <w:pPr>
        <w:spacing w:after="0" w:line="240" w:lineRule="auto"/>
        <w:rPr>
          <w:rFonts w:ascii="Arial" w:eastAsia="Times New Roman" w:hAnsi="Arial" w:cs="Arial"/>
          <w:color w:val="000000"/>
          <w:sz w:val="24"/>
          <w:szCs w:val="24"/>
        </w:rPr>
      </w:pPr>
      <w:r w:rsidRPr="001B0066">
        <w:rPr>
          <w:rFonts w:ascii="Arial" w:eastAsia="Times New Roman" w:hAnsi="Arial" w:cs="Arial"/>
          <w:color w:val="000000"/>
          <w:sz w:val="24"/>
          <w:szCs w:val="24"/>
        </w:rPr>
        <w:t>The ANA is the only full-service professional organization representing the interests of the nation's 3.1 million registered nurses, the single largest group of health care professionals in the United States.  We represent RNs in all roles and practice settings, through our state and constituent member nurses associations, and organizational affiliates.  ANA advances the nursing profession by fostering high standards of nursing practice, promoting the rights of nurses in the workplace, projecting a positive and realistic view of nursing, and advocating before Congress and regulatory agencies on health care issues affecting nurses and the public.  Our members include Advanced Practice Registered Nurses (APRNs) such as Nurse Practitioners (NPs), Clinical Nurse Spec</w:t>
      </w:r>
      <w:r w:rsidR="00E86C69">
        <w:rPr>
          <w:rFonts w:ascii="Arial" w:eastAsia="Times New Roman" w:hAnsi="Arial" w:cs="Arial"/>
          <w:color w:val="000000"/>
          <w:sz w:val="24"/>
          <w:szCs w:val="24"/>
        </w:rPr>
        <w:t>ialists (CNSs), Certified Nurse-</w:t>
      </w:r>
      <w:r w:rsidRPr="001B0066">
        <w:rPr>
          <w:rFonts w:ascii="Arial" w:eastAsia="Times New Roman" w:hAnsi="Arial" w:cs="Arial"/>
          <w:color w:val="000000"/>
          <w:sz w:val="24"/>
          <w:szCs w:val="24"/>
        </w:rPr>
        <w:t>Midwives (CNMs), and Certified Registered Nurse Anesthetists (CRNAs).</w:t>
      </w:r>
    </w:p>
    <w:p w:rsidR="00DD6FB2" w:rsidRDefault="00DD6FB2" w:rsidP="001A3E06">
      <w:pPr>
        <w:spacing w:after="0" w:line="240" w:lineRule="auto"/>
        <w:rPr>
          <w:rFonts w:ascii="Arial" w:eastAsia="Times New Roman" w:hAnsi="Arial" w:cs="Arial"/>
          <w:color w:val="000000"/>
          <w:sz w:val="24"/>
          <w:szCs w:val="24"/>
        </w:rPr>
      </w:pPr>
    </w:p>
    <w:p w:rsidR="006C4443" w:rsidRDefault="006C4443">
      <w:pPr>
        <w:rPr>
          <w:rFonts w:ascii="Arial" w:eastAsia="Times New Roman" w:hAnsi="Arial" w:cs="Arial"/>
          <w:b/>
          <w:color w:val="000000"/>
          <w:sz w:val="24"/>
          <w:szCs w:val="24"/>
        </w:rPr>
      </w:pPr>
      <w:r>
        <w:rPr>
          <w:rFonts w:ascii="Arial" w:eastAsia="Times New Roman" w:hAnsi="Arial" w:cs="Arial"/>
          <w:b/>
          <w:color w:val="000000"/>
          <w:sz w:val="24"/>
          <w:szCs w:val="24"/>
        </w:rPr>
        <w:br w:type="page"/>
      </w:r>
    </w:p>
    <w:p w:rsidR="00DD6FB2" w:rsidRDefault="00DD6FB2" w:rsidP="001A3E06">
      <w:pPr>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lastRenderedPageBreak/>
        <w:t>I.  Hospital Outpatient Prospective Payment System (OPPS) Proposed Rule</w:t>
      </w:r>
    </w:p>
    <w:p w:rsidR="00DD6FB2" w:rsidRDefault="00DD6FB2" w:rsidP="001A3E06">
      <w:pPr>
        <w:spacing w:after="0" w:line="240" w:lineRule="auto"/>
        <w:rPr>
          <w:rFonts w:ascii="Arial" w:eastAsia="Times New Roman" w:hAnsi="Arial" w:cs="Arial"/>
          <w:b/>
          <w:color w:val="000000"/>
          <w:sz w:val="24"/>
          <w:szCs w:val="24"/>
        </w:rPr>
      </w:pPr>
    </w:p>
    <w:p w:rsidR="00DD6FB2" w:rsidRPr="00FD5708" w:rsidRDefault="00D9208E" w:rsidP="00FD5708">
      <w:pPr>
        <w:pStyle w:val="ListParagraph"/>
        <w:numPr>
          <w:ilvl w:val="0"/>
          <w:numId w:val="7"/>
        </w:numPr>
        <w:spacing w:after="0" w:line="240" w:lineRule="auto"/>
        <w:rPr>
          <w:rFonts w:ascii="Arial" w:eastAsia="Times New Roman" w:hAnsi="Arial" w:cs="Arial"/>
          <w:b/>
          <w:bCs/>
          <w:color w:val="000000"/>
          <w:sz w:val="24"/>
          <w:szCs w:val="24"/>
          <w:u w:val="single"/>
        </w:rPr>
      </w:pPr>
      <w:r w:rsidRPr="00FD5708">
        <w:rPr>
          <w:rFonts w:ascii="Arial" w:eastAsia="Times New Roman" w:hAnsi="Arial" w:cs="Arial"/>
          <w:b/>
          <w:sz w:val="24"/>
          <w:szCs w:val="24"/>
          <w:u w:val="single"/>
        </w:rPr>
        <w:t>Direct</w:t>
      </w:r>
      <w:r w:rsidR="00DD6FB2" w:rsidRPr="00FD5708">
        <w:rPr>
          <w:rFonts w:ascii="Arial" w:eastAsia="Times New Roman" w:hAnsi="Arial" w:cs="Arial"/>
          <w:b/>
          <w:sz w:val="24"/>
          <w:szCs w:val="24"/>
          <w:u w:val="single"/>
        </w:rPr>
        <w:t xml:space="preserve"> Supervision R</w:t>
      </w:r>
      <w:r w:rsidR="00DC1EFC" w:rsidRPr="00FD5708">
        <w:rPr>
          <w:rFonts w:ascii="Arial" w:eastAsia="Times New Roman" w:hAnsi="Arial" w:cs="Arial"/>
          <w:b/>
          <w:sz w:val="24"/>
          <w:szCs w:val="24"/>
          <w:u w:val="single"/>
        </w:rPr>
        <w:t>equirements</w:t>
      </w:r>
    </w:p>
    <w:p w:rsidR="009D7546" w:rsidRPr="002F5EFC" w:rsidRDefault="00703C29" w:rsidP="00F351A1">
      <w:pPr>
        <w:pStyle w:val="NormalWeb"/>
        <w:rPr>
          <w:rFonts w:ascii="Arial" w:hAnsi="Arial" w:cs="Arial"/>
          <w:bCs/>
          <w:color w:val="000000"/>
        </w:rPr>
      </w:pPr>
      <w:r>
        <w:rPr>
          <w:rFonts w:ascii="Arial" w:hAnsi="Arial" w:cs="Arial"/>
          <w:bCs/>
          <w:color w:val="000000"/>
        </w:rPr>
        <w:t>C</w:t>
      </w:r>
      <w:r w:rsidR="00376DCF">
        <w:rPr>
          <w:rFonts w:ascii="Arial" w:hAnsi="Arial" w:cs="Arial"/>
          <w:bCs/>
          <w:color w:val="000000"/>
        </w:rPr>
        <w:t xml:space="preserve">enters for </w:t>
      </w:r>
      <w:r>
        <w:rPr>
          <w:rFonts w:ascii="Arial" w:hAnsi="Arial" w:cs="Arial"/>
          <w:bCs/>
          <w:color w:val="000000"/>
        </w:rPr>
        <w:t>M</w:t>
      </w:r>
      <w:r w:rsidR="00376DCF">
        <w:rPr>
          <w:rFonts w:ascii="Arial" w:hAnsi="Arial" w:cs="Arial"/>
          <w:bCs/>
          <w:color w:val="000000"/>
        </w:rPr>
        <w:t xml:space="preserve">edicare </w:t>
      </w:r>
      <w:r>
        <w:rPr>
          <w:rFonts w:ascii="Arial" w:hAnsi="Arial" w:cs="Arial"/>
          <w:bCs/>
          <w:color w:val="000000"/>
        </w:rPr>
        <w:t>S</w:t>
      </w:r>
      <w:r w:rsidR="00376DCF">
        <w:rPr>
          <w:rFonts w:ascii="Arial" w:hAnsi="Arial" w:cs="Arial"/>
          <w:bCs/>
          <w:color w:val="000000"/>
        </w:rPr>
        <w:t>ervices (CMS)</w:t>
      </w:r>
      <w:r>
        <w:rPr>
          <w:rFonts w:ascii="Arial" w:hAnsi="Arial" w:cs="Arial"/>
          <w:bCs/>
          <w:color w:val="000000"/>
        </w:rPr>
        <w:t xml:space="preserve"> </w:t>
      </w:r>
      <w:r w:rsidR="009D7546">
        <w:rPr>
          <w:rFonts w:ascii="Arial" w:hAnsi="Arial" w:cs="Arial"/>
          <w:bCs/>
          <w:color w:val="000000"/>
        </w:rPr>
        <w:t xml:space="preserve">is considering </w:t>
      </w:r>
      <w:r>
        <w:rPr>
          <w:rFonts w:ascii="Arial" w:hAnsi="Arial" w:cs="Arial"/>
          <w:bCs/>
          <w:color w:val="000000"/>
        </w:rPr>
        <w:t xml:space="preserve">several modifications to </w:t>
      </w:r>
      <w:r w:rsidR="00C04C8E">
        <w:rPr>
          <w:rFonts w:ascii="Arial" w:hAnsi="Arial" w:cs="Arial"/>
          <w:bCs/>
          <w:color w:val="000000"/>
        </w:rPr>
        <w:t xml:space="preserve">its “restatement and clarification” of </w:t>
      </w:r>
      <w:r w:rsidR="009D7546">
        <w:rPr>
          <w:rFonts w:ascii="Arial" w:hAnsi="Arial" w:cs="Arial"/>
          <w:bCs/>
          <w:color w:val="000000"/>
        </w:rPr>
        <w:t xml:space="preserve">the </w:t>
      </w:r>
      <w:r w:rsidR="00CB592D">
        <w:rPr>
          <w:rFonts w:ascii="Arial" w:hAnsi="Arial" w:cs="Arial"/>
          <w:bCs/>
          <w:color w:val="000000"/>
        </w:rPr>
        <w:t xml:space="preserve">direct supervision requirements </w:t>
      </w:r>
      <w:r w:rsidR="009D7546">
        <w:rPr>
          <w:rFonts w:ascii="Arial" w:hAnsi="Arial" w:cs="Arial"/>
          <w:bCs/>
          <w:color w:val="000000"/>
        </w:rPr>
        <w:t xml:space="preserve">for outpatient therapy services, </w:t>
      </w:r>
      <w:r w:rsidR="00C04C8E">
        <w:rPr>
          <w:rFonts w:ascii="Arial" w:hAnsi="Arial" w:cs="Arial"/>
          <w:bCs/>
          <w:color w:val="000000"/>
        </w:rPr>
        <w:t xml:space="preserve">as formally adopted </w:t>
      </w:r>
      <w:r w:rsidR="009D7546">
        <w:rPr>
          <w:rFonts w:ascii="Arial" w:hAnsi="Arial" w:cs="Arial"/>
          <w:bCs/>
          <w:color w:val="000000"/>
        </w:rPr>
        <w:t>in last year’s OPPS final rule.  ANA has previously commented on the severe hardship which these requirements can create for nurses and their patients who need to receive chemotherapy, IV therapy, and other important treatments in observation and other hospital outpatient units – particularly in rural areas where patients and their healthcare providers must travel long distances.  (</w:t>
      </w:r>
      <w:r w:rsidR="009D7546">
        <w:rPr>
          <w:rFonts w:ascii="Arial" w:hAnsi="Arial" w:cs="Arial"/>
        </w:rPr>
        <w:t xml:space="preserve">CMS subsequently issued a decision to delay, for a year, enforcement of this policy in critical access hospitals (CAHs).)  We support the agency’s efforts to modify these requirements and make them more practical </w:t>
      </w:r>
      <w:r w:rsidR="002F5EFC">
        <w:rPr>
          <w:rFonts w:ascii="Arial" w:hAnsi="Arial" w:cs="Arial"/>
        </w:rPr>
        <w:t xml:space="preserve">and realistic </w:t>
      </w:r>
      <w:r w:rsidR="009D7546">
        <w:rPr>
          <w:rFonts w:ascii="Arial" w:hAnsi="Arial" w:cs="Arial"/>
        </w:rPr>
        <w:t>in light of current accepted practices</w:t>
      </w:r>
      <w:r w:rsidR="002F5EFC">
        <w:rPr>
          <w:rFonts w:ascii="Arial" w:hAnsi="Arial" w:cs="Arial"/>
        </w:rPr>
        <w:t>.</w:t>
      </w:r>
    </w:p>
    <w:p w:rsidR="00D9208E" w:rsidRPr="00FD5708" w:rsidRDefault="002F5EFC" w:rsidP="006C4443">
      <w:pPr>
        <w:spacing w:after="0" w:line="240" w:lineRule="auto"/>
        <w:rPr>
          <w:rFonts w:ascii="Arial" w:hAnsi="Arial" w:cs="Arial"/>
          <w:sz w:val="24"/>
          <w:szCs w:val="24"/>
        </w:rPr>
      </w:pPr>
      <w:r w:rsidRPr="00FD5708">
        <w:rPr>
          <w:rFonts w:ascii="Arial" w:eastAsia="Times New Roman" w:hAnsi="Arial" w:cs="Arial"/>
          <w:b/>
          <w:bCs/>
          <w:color w:val="000000"/>
          <w:sz w:val="24"/>
          <w:szCs w:val="24"/>
        </w:rPr>
        <w:t xml:space="preserve">Current </w:t>
      </w:r>
      <w:r w:rsidR="006C4443">
        <w:rPr>
          <w:rFonts w:ascii="Arial" w:eastAsia="Times New Roman" w:hAnsi="Arial" w:cs="Arial"/>
          <w:b/>
          <w:bCs/>
          <w:color w:val="000000"/>
          <w:sz w:val="24"/>
          <w:szCs w:val="24"/>
        </w:rPr>
        <w:t>s</w:t>
      </w:r>
      <w:r w:rsidR="00C04C8E" w:rsidRPr="00FD5708">
        <w:rPr>
          <w:rFonts w:ascii="Arial" w:eastAsia="Times New Roman" w:hAnsi="Arial" w:cs="Arial"/>
          <w:b/>
          <w:bCs/>
          <w:color w:val="000000"/>
          <w:sz w:val="24"/>
          <w:szCs w:val="24"/>
        </w:rPr>
        <w:t xml:space="preserve">upervision </w:t>
      </w:r>
      <w:r w:rsidR="006C4443">
        <w:rPr>
          <w:rFonts w:ascii="Arial" w:eastAsia="Times New Roman" w:hAnsi="Arial" w:cs="Arial"/>
          <w:b/>
          <w:bCs/>
          <w:color w:val="000000"/>
          <w:sz w:val="24"/>
          <w:szCs w:val="24"/>
        </w:rPr>
        <w:t>r</w:t>
      </w:r>
      <w:r w:rsidRPr="00FD5708">
        <w:rPr>
          <w:rFonts w:ascii="Arial" w:eastAsia="Times New Roman" w:hAnsi="Arial" w:cs="Arial"/>
          <w:b/>
          <w:bCs/>
          <w:color w:val="000000"/>
          <w:sz w:val="24"/>
          <w:szCs w:val="24"/>
        </w:rPr>
        <w:t>equirements</w:t>
      </w:r>
      <w:r w:rsidRPr="0085049D">
        <w:rPr>
          <w:rFonts w:ascii="Arial" w:eastAsia="Times New Roman" w:hAnsi="Arial" w:cs="Arial"/>
          <w:b/>
          <w:bCs/>
          <w:color w:val="000000"/>
          <w:sz w:val="24"/>
          <w:szCs w:val="24"/>
        </w:rPr>
        <w:t xml:space="preserve">: </w:t>
      </w:r>
      <w:r w:rsidRPr="00FD5708">
        <w:rPr>
          <w:rFonts w:ascii="Arial" w:eastAsia="Times New Roman" w:hAnsi="Arial" w:cs="Arial"/>
          <w:b/>
          <w:bCs/>
          <w:color w:val="000000"/>
          <w:sz w:val="24"/>
          <w:szCs w:val="24"/>
        </w:rPr>
        <w:t xml:space="preserve"> </w:t>
      </w:r>
      <w:r w:rsidR="00D9208E" w:rsidRPr="00FD5708">
        <w:rPr>
          <w:rFonts w:ascii="Arial" w:eastAsia="Times New Roman" w:hAnsi="Arial" w:cs="Arial"/>
          <w:bCs/>
          <w:color w:val="000000"/>
          <w:sz w:val="24"/>
          <w:szCs w:val="24"/>
        </w:rPr>
        <w:t xml:space="preserve">CMS adopted these </w:t>
      </w:r>
      <w:r w:rsidR="00D9208E" w:rsidRPr="00FD5708">
        <w:rPr>
          <w:rStyle w:val="Strong"/>
          <w:rFonts w:ascii="Arial" w:hAnsi="Arial" w:cs="Arial"/>
          <w:b w:val="0"/>
          <w:sz w:val="24"/>
          <w:szCs w:val="24"/>
        </w:rPr>
        <w:t xml:space="preserve">requirements in the 2009 Medicare Outpatient Prospective Payment System Final Rule, and they can now be found at </w:t>
      </w:r>
      <w:r w:rsidR="00D9208E" w:rsidRPr="00FD5708">
        <w:rPr>
          <w:rFonts w:ascii="Arial" w:hAnsi="Arial" w:cs="Arial"/>
          <w:sz w:val="24"/>
          <w:szCs w:val="24"/>
        </w:rPr>
        <w:t xml:space="preserve">42 CFR §410.27 of Medicare regulations.  For outpatient hospital services furnished “incident to physician services”, “the physician or </w:t>
      </w:r>
      <w:proofErr w:type="spellStart"/>
      <w:r w:rsidR="00D9208E" w:rsidRPr="00FD5708">
        <w:rPr>
          <w:rFonts w:ascii="Arial" w:hAnsi="Arial" w:cs="Arial"/>
          <w:sz w:val="24"/>
          <w:szCs w:val="24"/>
        </w:rPr>
        <w:t>nonphysician</w:t>
      </w:r>
      <w:proofErr w:type="spellEnd"/>
      <w:r w:rsidR="00D9208E" w:rsidRPr="00FD5708">
        <w:rPr>
          <w:rFonts w:ascii="Arial" w:hAnsi="Arial" w:cs="Arial"/>
          <w:sz w:val="24"/>
          <w:szCs w:val="24"/>
        </w:rPr>
        <w:t xml:space="preserve"> practitioner must be present on the same campus” or the same “off-camp</w:t>
      </w:r>
      <w:r w:rsidRPr="00FD5708">
        <w:rPr>
          <w:rFonts w:ascii="Arial" w:hAnsi="Arial" w:cs="Arial"/>
          <w:sz w:val="24"/>
          <w:szCs w:val="24"/>
        </w:rPr>
        <w:t xml:space="preserve">us provider-based department” </w:t>
      </w:r>
      <w:r w:rsidR="00D9208E" w:rsidRPr="00FD5708">
        <w:rPr>
          <w:rFonts w:ascii="Arial" w:hAnsi="Arial" w:cs="Arial"/>
          <w:sz w:val="24"/>
          <w:szCs w:val="24"/>
        </w:rPr>
        <w:t xml:space="preserve">and “immediately available to furnish assistance and direction throughout the performance of the procedure.  It does not mean that the physician or </w:t>
      </w:r>
      <w:proofErr w:type="spellStart"/>
      <w:r w:rsidR="00D9208E" w:rsidRPr="00FD5708">
        <w:rPr>
          <w:rFonts w:ascii="Arial" w:hAnsi="Arial" w:cs="Arial"/>
          <w:sz w:val="24"/>
          <w:szCs w:val="24"/>
        </w:rPr>
        <w:t>nonphysician</w:t>
      </w:r>
      <w:proofErr w:type="spellEnd"/>
      <w:r w:rsidR="00D9208E" w:rsidRPr="00FD5708">
        <w:rPr>
          <w:rFonts w:ascii="Arial" w:hAnsi="Arial" w:cs="Arial"/>
          <w:sz w:val="24"/>
          <w:szCs w:val="24"/>
        </w:rPr>
        <w:t xml:space="preserve"> practitioner must be present in the room when the procedure is performed.  For pulmonary rehabilitation, cardiac rehabilitation, and intensive cardiac rehabilitation services, direct supervision must be furnished by a doctor of medicine or osteopathy, as specified in §§ 410.47 and 410.49, respectively.”  </w:t>
      </w:r>
    </w:p>
    <w:p w:rsidR="00D9208E" w:rsidRDefault="00D9208E" w:rsidP="00D9208E">
      <w:pPr>
        <w:pStyle w:val="NormalWeb"/>
        <w:spacing w:line="285" w:lineRule="atLeast"/>
        <w:rPr>
          <w:rFonts w:ascii="Arial" w:hAnsi="Arial" w:cs="Arial"/>
        </w:rPr>
      </w:pPr>
      <w:r w:rsidRPr="00D9208E">
        <w:rPr>
          <w:rFonts w:ascii="Arial" w:hAnsi="Arial" w:cs="Arial"/>
        </w:rPr>
        <w:t xml:space="preserve">The supervisory physician or </w:t>
      </w:r>
      <w:proofErr w:type="spellStart"/>
      <w:r w:rsidRPr="00D9208E">
        <w:rPr>
          <w:rFonts w:ascii="Arial" w:hAnsi="Arial" w:cs="Arial"/>
        </w:rPr>
        <w:t>nonphysician</w:t>
      </w:r>
      <w:proofErr w:type="spellEnd"/>
      <w:r w:rsidRPr="00D9208E">
        <w:rPr>
          <w:rFonts w:ascii="Arial" w:hAnsi="Arial" w:cs="Arial"/>
        </w:rPr>
        <w:t xml:space="preserve"> practitioner “may not be located in any other entity” and “immediately available” means that person may not be “so physically far away . . . that he or she could not intervene right away.”  While the supervisory practitioner does not have to be of the same specialty or department, he or she “must have, within his or her State scope of practice and hospital-granted privileges, the ability to perform the service or procedure.”  </w:t>
      </w:r>
    </w:p>
    <w:p w:rsidR="00C04C8E" w:rsidRDefault="00C04C8E" w:rsidP="00C04C8E">
      <w:pPr>
        <w:pStyle w:val="NormalWeb"/>
        <w:spacing w:line="285" w:lineRule="atLeast"/>
        <w:rPr>
          <w:rFonts w:ascii="Arial" w:hAnsi="Arial" w:cs="Arial"/>
        </w:rPr>
      </w:pPr>
      <w:r>
        <w:rPr>
          <w:rFonts w:ascii="Arial" w:hAnsi="Arial" w:cs="Arial"/>
        </w:rPr>
        <w:t>“</w:t>
      </w:r>
      <w:proofErr w:type="spellStart"/>
      <w:r>
        <w:rPr>
          <w:rFonts w:ascii="Arial" w:hAnsi="Arial" w:cs="Arial"/>
        </w:rPr>
        <w:t>Nonphysician</w:t>
      </w:r>
      <w:proofErr w:type="spellEnd"/>
      <w:r>
        <w:rPr>
          <w:rFonts w:ascii="Arial" w:hAnsi="Arial" w:cs="Arial"/>
        </w:rPr>
        <w:t xml:space="preserve"> practitioners” were defined to include nurse practitioners, clinical nurse s</w:t>
      </w:r>
      <w:r w:rsidR="00E86C69">
        <w:rPr>
          <w:rFonts w:ascii="Arial" w:hAnsi="Arial" w:cs="Arial"/>
        </w:rPr>
        <w:t>pecialists, and certified nurse-</w:t>
      </w:r>
      <w:r>
        <w:rPr>
          <w:rFonts w:ascii="Arial" w:hAnsi="Arial" w:cs="Arial"/>
        </w:rPr>
        <w:t xml:space="preserve">midwives – as well as </w:t>
      </w:r>
      <w:r w:rsidRPr="00D9208E">
        <w:rPr>
          <w:rFonts w:ascii="Arial" w:hAnsi="Arial" w:cs="Arial"/>
        </w:rPr>
        <w:t>clinical psycho</w:t>
      </w:r>
      <w:r w:rsidR="00A206A1">
        <w:rPr>
          <w:rFonts w:ascii="Arial" w:hAnsi="Arial" w:cs="Arial"/>
        </w:rPr>
        <w:t xml:space="preserve">logists, physician assistants, </w:t>
      </w:r>
      <w:r>
        <w:rPr>
          <w:rFonts w:ascii="Arial" w:hAnsi="Arial" w:cs="Arial"/>
        </w:rPr>
        <w:t xml:space="preserve">and licensed clinical social workers.  They </w:t>
      </w:r>
      <w:r w:rsidRPr="00D9208E">
        <w:rPr>
          <w:rFonts w:ascii="Arial" w:hAnsi="Arial" w:cs="Arial"/>
        </w:rPr>
        <w:t xml:space="preserve">may directly supervise hospital outpatient therapeutic services </w:t>
      </w:r>
      <w:r>
        <w:rPr>
          <w:rFonts w:ascii="Arial" w:hAnsi="Arial" w:cs="Arial"/>
        </w:rPr>
        <w:t xml:space="preserve">which </w:t>
      </w:r>
      <w:r w:rsidRPr="00D9208E">
        <w:rPr>
          <w:rFonts w:ascii="Arial" w:hAnsi="Arial" w:cs="Arial"/>
        </w:rPr>
        <w:t xml:space="preserve">they may </w:t>
      </w:r>
      <w:r>
        <w:rPr>
          <w:rFonts w:ascii="Arial" w:hAnsi="Arial" w:cs="Arial"/>
        </w:rPr>
        <w:t>“</w:t>
      </w:r>
      <w:r w:rsidRPr="00D9208E">
        <w:rPr>
          <w:rFonts w:ascii="Arial" w:hAnsi="Arial" w:cs="Arial"/>
        </w:rPr>
        <w:t xml:space="preserve">perform themselves within their State scope of practice and hospital-granted privileges, provided that they meet all additional requirements, including any collaboration or supervision requirements as specified in” </w:t>
      </w:r>
      <w:r>
        <w:rPr>
          <w:rFonts w:ascii="Arial" w:hAnsi="Arial" w:cs="Arial"/>
        </w:rPr>
        <w:t xml:space="preserve">the </w:t>
      </w:r>
      <w:r w:rsidRPr="00D9208E">
        <w:rPr>
          <w:rFonts w:ascii="Arial" w:hAnsi="Arial" w:cs="Arial"/>
        </w:rPr>
        <w:t xml:space="preserve">Medicare </w:t>
      </w:r>
      <w:r>
        <w:rPr>
          <w:rFonts w:ascii="Arial" w:hAnsi="Arial" w:cs="Arial"/>
        </w:rPr>
        <w:t xml:space="preserve">regulations.  </w:t>
      </w:r>
    </w:p>
    <w:p w:rsidR="002D1C49" w:rsidRDefault="00C04C8E" w:rsidP="002D1C49">
      <w:pPr>
        <w:pStyle w:val="NormalWeb"/>
        <w:spacing w:line="285" w:lineRule="atLeast"/>
        <w:rPr>
          <w:rFonts w:ascii="Arial" w:hAnsi="Arial" w:cs="Arial"/>
        </w:rPr>
      </w:pPr>
      <w:r>
        <w:rPr>
          <w:rFonts w:ascii="Arial" w:hAnsi="Arial" w:cs="Arial"/>
        </w:rPr>
        <w:t>V</w:t>
      </w:r>
      <w:r w:rsidR="0006593C" w:rsidRPr="00C04C8E">
        <w:rPr>
          <w:rFonts w:ascii="Arial" w:hAnsi="Arial" w:cs="Arial"/>
        </w:rPr>
        <w:t>irtually every type of therapeutic service provided in outpatient settings</w:t>
      </w:r>
      <w:r>
        <w:rPr>
          <w:rFonts w:ascii="Arial" w:hAnsi="Arial" w:cs="Arial"/>
        </w:rPr>
        <w:t xml:space="preserve"> is subject to the requirements, regardless of whether the same rules apply </w:t>
      </w:r>
      <w:r w:rsidRPr="00C04C8E">
        <w:rPr>
          <w:rFonts w:ascii="Arial" w:hAnsi="Arial" w:cs="Arial"/>
        </w:rPr>
        <w:t xml:space="preserve">in other settings.  </w:t>
      </w:r>
      <w:r>
        <w:rPr>
          <w:rFonts w:ascii="Arial" w:hAnsi="Arial" w:cs="Arial"/>
        </w:rPr>
        <w:t>CMS p</w:t>
      </w:r>
      <w:r w:rsidR="0006593C" w:rsidRPr="00C04C8E">
        <w:rPr>
          <w:rFonts w:ascii="Arial" w:hAnsi="Arial" w:cs="Arial"/>
        </w:rPr>
        <w:t>osited that “all hospital outpatient services that are not diagnostic are services that aid the physician in the treatment of the patient, and are called therapeutic services.”</w:t>
      </w:r>
    </w:p>
    <w:p w:rsidR="002F6112" w:rsidRDefault="00FD5708" w:rsidP="006C4443">
      <w:pPr>
        <w:pStyle w:val="NormalWeb"/>
        <w:spacing w:line="285" w:lineRule="atLeast"/>
        <w:rPr>
          <w:rFonts w:ascii="Arial" w:hAnsi="Arial" w:cs="Arial"/>
        </w:rPr>
      </w:pPr>
      <w:r>
        <w:rPr>
          <w:rFonts w:ascii="Arial" w:hAnsi="Arial" w:cs="Arial"/>
          <w:b/>
        </w:rPr>
        <w:lastRenderedPageBreak/>
        <w:t>CMS</w:t>
      </w:r>
      <w:r w:rsidRPr="00FD5708">
        <w:rPr>
          <w:rFonts w:ascii="Arial" w:hAnsi="Arial" w:cs="Arial"/>
          <w:b/>
        </w:rPr>
        <w:t xml:space="preserve"> should exempt independent nursing practices, particularly those not subject to supervision in other settings:  </w:t>
      </w:r>
      <w:r w:rsidR="002F6112" w:rsidRPr="002F6112">
        <w:rPr>
          <w:rFonts w:ascii="Arial" w:hAnsi="Arial" w:cs="Arial"/>
        </w:rPr>
        <w:t xml:space="preserve">The notion that physicians should supervise care provided by other qualified health care providers with the education and scope of practice to provide the care in question is outdated and dangerous.  It is based on the erroneous assumption that every physician is more capable of providing patient care than every </w:t>
      </w:r>
      <w:proofErr w:type="spellStart"/>
      <w:r w:rsidR="002F6112" w:rsidRPr="002F6112">
        <w:rPr>
          <w:rFonts w:ascii="Arial" w:hAnsi="Arial" w:cs="Arial"/>
        </w:rPr>
        <w:t>nonphysician</w:t>
      </w:r>
      <w:proofErr w:type="spellEnd"/>
      <w:r w:rsidR="002F6112" w:rsidRPr="002F6112">
        <w:rPr>
          <w:rFonts w:ascii="Arial" w:hAnsi="Arial" w:cs="Arial"/>
        </w:rPr>
        <w:t xml:space="preserve"> care provider.  This is </w:t>
      </w:r>
      <w:r w:rsidR="00376DCF">
        <w:rPr>
          <w:rFonts w:ascii="Arial" w:hAnsi="Arial" w:cs="Arial"/>
        </w:rPr>
        <w:t xml:space="preserve">neither </w:t>
      </w:r>
      <w:r w:rsidR="002F6112" w:rsidRPr="002F6112">
        <w:rPr>
          <w:rFonts w:ascii="Arial" w:hAnsi="Arial" w:cs="Arial"/>
        </w:rPr>
        <w:t xml:space="preserve">supported by evidence </w:t>
      </w:r>
      <w:r w:rsidR="00376DCF">
        <w:rPr>
          <w:rFonts w:ascii="Arial" w:hAnsi="Arial" w:cs="Arial"/>
        </w:rPr>
        <w:t>n</w:t>
      </w:r>
      <w:r w:rsidR="002F6112" w:rsidRPr="002F6112">
        <w:rPr>
          <w:rFonts w:ascii="Arial" w:hAnsi="Arial" w:cs="Arial"/>
        </w:rPr>
        <w:t xml:space="preserve">or scientific research, and ignores the current state of health care in which many patients receive extensive and high-quality care from highly qualified and experienced </w:t>
      </w:r>
      <w:proofErr w:type="spellStart"/>
      <w:r w:rsidR="002F6112" w:rsidRPr="002F6112">
        <w:rPr>
          <w:rFonts w:ascii="Arial" w:hAnsi="Arial" w:cs="Arial"/>
        </w:rPr>
        <w:t>nonphysician</w:t>
      </w:r>
      <w:proofErr w:type="spellEnd"/>
      <w:r w:rsidR="002F6112" w:rsidRPr="002F6112">
        <w:rPr>
          <w:rFonts w:ascii="Arial" w:hAnsi="Arial" w:cs="Arial"/>
        </w:rPr>
        <w:t xml:space="preserve"> health care providers.  Physicians are generally not responsible for supervising care delivered by registered nurses, therapists, or other licensed health care professionals.   It is inappropriate to expect physicians, or any other provider, to accept responsibility for care they have not provided.  And supervision rules are particularly problematic in rural and underserved areas</w:t>
      </w:r>
      <w:r w:rsidR="00376DCF">
        <w:rPr>
          <w:rFonts w:ascii="Arial" w:hAnsi="Arial" w:cs="Arial"/>
        </w:rPr>
        <w:t xml:space="preserve"> where physicians are scar</w:t>
      </w:r>
      <w:r w:rsidR="0085049D">
        <w:rPr>
          <w:rFonts w:ascii="Arial" w:hAnsi="Arial" w:cs="Arial"/>
        </w:rPr>
        <w:t>c</w:t>
      </w:r>
      <w:r w:rsidR="00376DCF">
        <w:rPr>
          <w:rFonts w:ascii="Arial" w:hAnsi="Arial" w:cs="Arial"/>
        </w:rPr>
        <w:t xml:space="preserve">e, </w:t>
      </w:r>
      <w:r w:rsidR="002F6112" w:rsidRPr="002F6112">
        <w:rPr>
          <w:rFonts w:ascii="Arial" w:hAnsi="Arial" w:cs="Arial"/>
        </w:rPr>
        <w:t>prevent</w:t>
      </w:r>
      <w:r w:rsidR="00376DCF">
        <w:rPr>
          <w:rFonts w:ascii="Arial" w:hAnsi="Arial" w:cs="Arial"/>
        </w:rPr>
        <w:t>ing</w:t>
      </w:r>
      <w:r w:rsidR="002F6112" w:rsidRPr="002F6112">
        <w:rPr>
          <w:rFonts w:ascii="Arial" w:hAnsi="Arial" w:cs="Arial"/>
        </w:rPr>
        <w:t xml:space="preserve"> patients from having access to care</w:t>
      </w:r>
      <w:r w:rsidR="00376DCF">
        <w:rPr>
          <w:rFonts w:ascii="Arial" w:hAnsi="Arial" w:cs="Arial"/>
        </w:rPr>
        <w:t>.</w:t>
      </w:r>
    </w:p>
    <w:p w:rsidR="00B15F23" w:rsidRDefault="00376DCF" w:rsidP="002D1C49">
      <w:pPr>
        <w:pStyle w:val="NormalWeb"/>
        <w:spacing w:line="285" w:lineRule="atLeast"/>
        <w:rPr>
          <w:rFonts w:ascii="Arial" w:hAnsi="Arial" w:cs="Arial"/>
        </w:rPr>
      </w:pPr>
      <w:r>
        <w:rPr>
          <w:rFonts w:ascii="Arial" w:hAnsi="Arial" w:cs="Arial"/>
        </w:rPr>
        <w:t>RNs</w:t>
      </w:r>
      <w:r w:rsidR="009D7BE0">
        <w:rPr>
          <w:rFonts w:ascii="Arial" w:hAnsi="Arial" w:cs="Arial"/>
        </w:rPr>
        <w:t xml:space="preserve"> </w:t>
      </w:r>
      <w:r w:rsidR="002D1C49">
        <w:rPr>
          <w:rFonts w:ascii="Arial" w:hAnsi="Arial" w:cs="Arial"/>
        </w:rPr>
        <w:t xml:space="preserve">are educated, trained and licensed to independently perform many </w:t>
      </w:r>
      <w:r w:rsidR="009D7BE0">
        <w:rPr>
          <w:rFonts w:ascii="Arial" w:hAnsi="Arial" w:cs="Arial"/>
        </w:rPr>
        <w:t xml:space="preserve">aspects of direct patient care, </w:t>
      </w:r>
      <w:r w:rsidR="00B15F23">
        <w:rPr>
          <w:rFonts w:ascii="Arial" w:hAnsi="Arial" w:cs="Arial"/>
        </w:rPr>
        <w:t xml:space="preserve">and receive advice, assistance and supervision from their nursing peers and nursing managers.  RNs must practice within the rules and regulations of their state Board of Nursing, and are </w:t>
      </w:r>
      <w:r w:rsidR="002F6112">
        <w:rPr>
          <w:rFonts w:ascii="Arial" w:hAnsi="Arial" w:cs="Arial"/>
        </w:rPr>
        <w:t xml:space="preserve">required to follow </w:t>
      </w:r>
      <w:r w:rsidR="00B15F23">
        <w:rPr>
          <w:rFonts w:ascii="Arial" w:hAnsi="Arial" w:cs="Arial"/>
        </w:rPr>
        <w:t xml:space="preserve">professional rules of practice as embodied in ANA’s </w:t>
      </w:r>
      <w:r w:rsidR="00B15F23" w:rsidRPr="00376DCF">
        <w:rPr>
          <w:rFonts w:ascii="Arial" w:hAnsi="Arial" w:cs="Arial"/>
          <w:i/>
        </w:rPr>
        <w:t>Nursing</w:t>
      </w:r>
      <w:r>
        <w:rPr>
          <w:rFonts w:ascii="Arial" w:hAnsi="Arial" w:cs="Arial"/>
          <w:i/>
        </w:rPr>
        <w:t>:</w:t>
      </w:r>
      <w:r w:rsidR="00B15F23" w:rsidRPr="00376DCF">
        <w:rPr>
          <w:rFonts w:ascii="Arial" w:hAnsi="Arial" w:cs="Arial"/>
          <w:i/>
        </w:rPr>
        <w:t xml:space="preserve"> Standards and Scope of Practice</w:t>
      </w:r>
      <w:r w:rsidR="00B15F23">
        <w:rPr>
          <w:rFonts w:ascii="Arial" w:hAnsi="Arial" w:cs="Arial"/>
        </w:rPr>
        <w:t xml:space="preserve">, and </w:t>
      </w:r>
      <w:r>
        <w:rPr>
          <w:rFonts w:ascii="Arial" w:hAnsi="Arial" w:cs="Arial"/>
        </w:rPr>
        <w:t>Code of Ethics</w:t>
      </w:r>
      <w:r w:rsidR="002F6112">
        <w:rPr>
          <w:rFonts w:ascii="Arial" w:hAnsi="Arial" w:cs="Arial"/>
        </w:rPr>
        <w:t xml:space="preserve">.  </w:t>
      </w:r>
      <w:r w:rsidR="00036186">
        <w:rPr>
          <w:rFonts w:ascii="Arial" w:hAnsi="Arial" w:cs="Arial"/>
        </w:rPr>
        <w:t xml:space="preserve">While </w:t>
      </w:r>
      <w:r w:rsidR="002F6112">
        <w:rPr>
          <w:rFonts w:ascii="Arial" w:hAnsi="Arial" w:cs="Arial"/>
        </w:rPr>
        <w:t xml:space="preserve">charged with </w:t>
      </w:r>
      <w:r w:rsidR="00036186">
        <w:rPr>
          <w:rFonts w:ascii="Arial" w:hAnsi="Arial" w:cs="Arial"/>
        </w:rPr>
        <w:t>carry</w:t>
      </w:r>
      <w:r w:rsidR="002F6112">
        <w:rPr>
          <w:rFonts w:ascii="Arial" w:hAnsi="Arial" w:cs="Arial"/>
        </w:rPr>
        <w:t>ing</w:t>
      </w:r>
      <w:r w:rsidR="00036186">
        <w:rPr>
          <w:rFonts w:ascii="Arial" w:hAnsi="Arial" w:cs="Arial"/>
        </w:rPr>
        <w:t xml:space="preserve"> out the orders of physicians and </w:t>
      </w:r>
      <w:proofErr w:type="spellStart"/>
      <w:r w:rsidR="00036186">
        <w:rPr>
          <w:rFonts w:ascii="Arial" w:hAnsi="Arial" w:cs="Arial"/>
        </w:rPr>
        <w:t>nonphysician</w:t>
      </w:r>
      <w:proofErr w:type="spellEnd"/>
      <w:r w:rsidR="00036186">
        <w:rPr>
          <w:rFonts w:ascii="Arial" w:hAnsi="Arial" w:cs="Arial"/>
        </w:rPr>
        <w:t xml:space="preserve"> practitioners, RNs are also expected to do so with a significant degree of independence, responsibility, and accountability.  </w:t>
      </w:r>
      <w:r w:rsidR="00B15F23">
        <w:rPr>
          <w:rFonts w:ascii="Arial" w:hAnsi="Arial" w:cs="Arial"/>
        </w:rPr>
        <w:t>R</w:t>
      </w:r>
      <w:r w:rsidR="00036186">
        <w:rPr>
          <w:rFonts w:ascii="Arial" w:hAnsi="Arial" w:cs="Arial"/>
        </w:rPr>
        <w:t xml:space="preserve">egistered nurses </w:t>
      </w:r>
      <w:r w:rsidR="00B15F23">
        <w:rPr>
          <w:rFonts w:ascii="Arial" w:hAnsi="Arial" w:cs="Arial"/>
        </w:rPr>
        <w:t>are also independently liable for the legal implications of their actions – and simply “following orders” is no</w:t>
      </w:r>
      <w:r w:rsidR="002A415B">
        <w:rPr>
          <w:rFonts w:ascii="Arial" w:hAnsi="Arial" w:cs="Arial"/>
        </w:rPr>
        <w:t>t a</w:t>
      </w:r>
      <w:r w:rsidR="00B15F23">
        <w:rPr>
          <w:rFonts w:ascii="Arial" w:hAnsi="Arial" w:cs="Arial"/>
        </w:rPr>
        <w:t xml:space="preserve"> defense.   </w:t>
      </w:r>
    </w:p>
    <w:p w:rsidR="002F6112" w:rsidRDefault="00036186" w:rsidP="002D1C49">
      <w:pPr>
        <w:pStyle w:val="NormalWeb"/>
        <w:spacing w:line="285" w:lineRule="atLeast"/>
        <w:rPr>
          <w:rFonts w:ascii="Arial" w:hAnsi="Arial" w:cs="Arial"/>
        </w:rPr>
      </w:pPr>
      <w:r>
        <w:rPr>
          <w:rFonts w:ascii="Arial" w:hAnsi="Arial" w:cs="Arial"/>
        </w:rPr>
        <w:t>As a practical matter, no hospital could operate if nurses had to be constantly, directly supervised in delivering the myriad aspects of direct patient care.  Consequently, RNs are customarily charged w</w:t>
      </w:r>
      <w:r w:rsidR="002A415B">
        <w:rPr>
          <w:rFonts w:ascii="Arial" w:hAnsi="Arial" w:cs="Arial"/>
        </w:rPr>
        <w:t xml:space="preserve">ith independently administering </w:t>
      </w:r>
      <w:r w:rsidR="0085049D">
        <w:rPr>
          <w:rFonts w:ascii="Arial" w:hAnsi="Arial" w:cs="Arial"/>
        </w:rPr>
        <w:t>-</w:t>
      </w:r>
      <w:r w:rsidR="002A415B">
        <w:rPr>
          <w:rFonts w:ascii="Arial" w:hAnsi="Arial" w:cs="Arial"/>
        </w:rPr>
        <w:t>-</w:t>
      </w:r>
      <w:r>
        <w:rPr>
          <w:rFonts w:ascii="Arial" w:hAnsi="Arial" w:cs="Arial"/>
        </w:rPr>
        <w:t xml:space="preserve"> pursuant to valid orders</w:t>
      </w:r>
      <w:r w:rsidR="002A415B">
        <w:rPr>
          <w:rFonts w:ascii="Arial" w:hAnsi="Arial" w:cs="Arial"/>
        </w:rPr>
        <w:t xml:space="preserve"> </w:t>
      </w:r>
      <w:r w:rsidR="0085049D">
        <w:rPr>
          <w:rFonts w:ascii="Arial" w:hAnsi="Arial" w:cs="Arial"/>
        </w:rPr>
        <w:t>-</w:t>
      </w:r>
      <w:r w:rsidR="002A415B">
        <w:rPr>
          <w:rFonts w:ascii="Arial" w:hAnsi="Arial" w:cs="Arial"/>
        </w:rPr>
        <w:t xml:space="preserve">- </w:t>
      </w:r>
      <w:r w:rsidR="008A78A7">
        <w:rPr>
          <w:rFonts w:ascii="Arial" w:hAnsi="Arial" w:cs="Arial"/>
        </w:rPr>
        <w:t xml:space="preserve">such crucial treatments as </w:t>
      </w:r>
      <w:r>
        <w:rPr>
          <w:rFonts w:ascii="Arial" w:hAnsi="Arial" w:cs="Arial"/>
        </w:rPr>
        <w:t xml:space="preserve">intravenous (IV) </w:t>
      </w:r>
      <w:r w:rsidR="008A78A7">
        <w:rPr>
          <w:rFonts w:ascii="Arial" w:hAnsi="Arial" w:cs="Arial"/>
        </w:rPr>
        <w:t xml:space="preserve">medications, including the programming and changing of </w:t>
      </w:r>
      <w:r w:rsidR="0085049D">
        <w:rPr>
          <w:rFonts w:ascii="Arial" w:hAnsi="Arial" w:cs="Arial"/>
        </w:rPr>
        <w:t xml:space="preserve">medication devices such as </w:t>
      </w:r>
      <w:r w:rsidR="008A78A7">
        <w:rPr>
          <w:rFonts w:ascii="Arial" w:hAnsi="Arial" w:cs="Arial"/>
        </w:rPr>
        <w:t>p</w:t>
      </w:r>
      <w:r w:rsidR="0085049D">
        <w:rPr>
          <w:rFonts w:ascii="Arial" w:hAnsi="Arial" w:cs="Arial"/>
        </w:rPr>
        <w:t>atient-controlled anesthesia (PCA) pumps</w:t>
      </w:r>
      <w:r w:rsidR="008A78A7">
        <w:rPr>
          <w:rFonts w:ascii="Arial" w:hAnsi="Arial" w:cs="Arial"/>
        </w:rPr>
        <w:t xml:space="preserve">; </w:t>
      </w:r>
      <w:r>
        <w:rPr>
          <w:rFonts w:ascii="Arial" w:hAnsi="Arial" w:cs="Arial"/>
        </w:rPr>
        <w:t>blood transfusions</w:t>
      </w:r>
      <w:r w:rsidR="008A78A7">
        <w:rPr>
          <w:rFonts w:ascii="Arial" w:hAnsi="Arial" w:cs="Arial"/>
        </w:rPr>
        <w:t>;</w:t>
      </w:r>
      <w:r>
        <w:rPr>
          <w:rFonts w:ascii="Arial" w:hAnsi="Arial" w:cs="Arial"/>
        </w:rPr>
        <w:t xml:space="preserve"> chemotherapy</w:t>
      </w:r>
      <w:r w:rsidR="00C21B01">
        <w:rPr>
          <w:rFonts w:ascii="Arial" w:hAnsi="Arial" w:cs="Arial"/>
        </w:rPr>
        <w:t>; as well as ongoing patient assessment and monitoring</w:t>
      </w:r>
      <w:r>
        <w:rPr>
          <w:rFonts w:ascii="Arial" w:hAnsi="Arial" w:cs="Arial"/>
        </w:rPr>
        <w:t xml:space="preserve">.  Such practices do not require direct </w:t>
      </w:r>
      <w:r w:rsidR="008A78A7">
        <w:rPr>
          <w:rFonts w:ascii="Arial" w:hAnsi="Arial" w:cs="Arial"/>
        </w:rPr>
        <w:t>physician/</w:t>
      </w:r>
      <w:proofErr w:type="spellStart"/>
      <w:r w:rsidR="008A78A7">
        <w:rPr>
          <w:rFonts w:ascii="Arial" w:hAnsi="Arial" w:cs="Arial"/>
        </w:rPr>
        <w:t>nonphysician</w:t>
      </w:r>
      <w:proofErr w:type="spellEnd"/>
      <w:r w:rsidR="008A78A7">
        <w:rPr>
          <w:rFonts w:ascii="Arial" w:hAnsi="Arial" w:cs="Arial"/>
        </w:rPr>
        <w:t xml:space="preserve"> provider </w:t>
      </w:r>
      <w:r>
        <w:rPr>
          <w:rFonts w:ascii="Arial" w:hAnsi="Arial" w:cs="Arial"/>
        </w:rPr>
        <w:t xml:space="preserve">supervision in inpatient settings, and likewise </w:t>
      </w:r>
      <w:r w:rsidR="008A78A7">
        <w:rPr>
          <w:rFonts w:ascii="Arial" w:hAnsi="Arial" w:cs="Arial"/>
        </w:rPr>
        <w:t xml:space="preserve">should </w:t>
      </w:r>
      <w:r>
        <w:rPr>
          <w:rFonts w:ascii="Arial" w:hAnsi="Arial" w:cs="Arial"/>
        </w:rPr>
        <w:t>not require it in outpatient settings.</w:t>
      </w:r>
      <w:r w:rsidR="008A78A7">
        <w:rPr>
          <w:rFonts w:ascii="Arial" w:hAnsi="Arial" w:cs="Arial"/>
        </w:rPr>
        <w:t xml:space="preserve">  </w:t>
      </w:r>
    </w:p>
    <w:p w:rsidR="00036186" w:rsidRDefault="008A78A7" w:rsidP="002D1C49">
      <w:pPr>
        <w:pStyle w:val="NormalWeb"/>
        <w:spacing w:line="285" w:lineRule="atLeast"/>
        <w:rPr>
          <w:rFonts w:ascii="Arial" w:hAnsi="Arial" w:cs="Arial"/>
        </w:rPr>
      </w:pPr>
      <w:r>
        <w:rPr>
          <w:rFonts w:ascii="Arial" w:hAnsi="Arial" w:cs="Arial"/>
        </w:rPr>
        <w:t>Moreover, a number of physicians/non-physician providers would be hard pressed to take over for a nurse in many of these situations, particularly in the preparation of chemotherapy for IV administration.</w:t>
      </w:r>
      <w:r w:rsidR="002F6112">
        <w:rPr>
          <w:rFonts w:ascii="Arial" w:hAnsi="Arial" w:cs="Arial"/>
        </w:rPr>
        <w:t xml:space="preserve">  Consequently, we support CMS’s proposal that “in order to furnish appropriate assistance and direction for any given service or procedure, we believe the supervisory physician or </w:t>
      </w:r>
      <w:proofErr w:type="spellStart"/>
      <w:r w:rsidR="002F6112">
        <w:rPr>
          <w:rFonts w:ascii="Arial" w:hAnsi="Arial" w:cs="Arial"/>
        </w:rPr>
        <w:t>nonphysician</w:t>
      </w:r>
      <w:proofErr w:type="spellEnd"/>
      <w:r w:rsidR="002F6112">
        <w:rPr>
          <w:rFonts w:ascii="Arial" w:hAnsi="Arial" w:cs="Arial"/>
        </w:rPr>
        <w:t xml:space="preserve"> practitioners must have, within his or her State scope of practice and hospital-granted privileges, the ability to perform the service or procedure.”</w:t>
      </w:r>
      <w:r w:rsidR="0085049D">
        <w:rPr>
          <w:rFonts w:ascii="Arial" w:hAnsi="Arial" w:cs="Arial"/>
        </w:rPr>
        <w:t xml:space="preserve">  We also believe that there must be an appropriate level of experience with such procedures, on the part of the supervising physician or practitioner.</w:t>
      </w:r>
    </w:p>
    <w:p w:rsidR="00036186" w:rsidRDefault="008A78A7" w:rsidP="002D1C49">
      <w:pPr>
        <w:pStyle w:val="NormalWeb"/>
        <w:spacing w:line="285" w:lineRule="atLeast"/>
        <w:rPr>
          <w:rFonts w:ascii="Arial" w:hAnsi="Arial" w:cs="Arial"/>
        </w:rPr>
      </w:pPr>
      <w:r>
        <w:rPr>
          <w:rFonts w:ascii="Arial" w:hAnsi="Arial" w:cs="Arial"/>
        </w:rPr>
        <w:t>However, a</w:t>
      </w:r>
      <w:r w:rsidR="00036186">
        <w:rPr>
          <w:rFonts w:ascii="Arial" w:hAnsi="Arial" w:cs="Arial"/>
        </w:rPr>
        <w:t xml:space="preserve">part from the question of </w:t>
      </w:r>
      <w:r>
        <w:rPr>
          <w:rFonts w:ascii="Arial" w:hAnsi="Arial" w:cs="Arial"/>
        </w:rPr>
        <w:t>i</w:t>
      </w:r>
      <w:r w:rsidR="00036186">
        <w:rPr>
          <w:rFonts w:ascii="Arial" w:hAnsi="Arial" w:cs="Arial"/>
        </w:rPr>
        <w:t>ndependen</w:t>
      </w:r>
      <w:r>
        <w:rPr>
          <w:rFonts w:ascii="Arial" w:hAnsi="Arial" w:cs="Arial"/>
        </w:rPr>
        <w:t>t nursing practice</w:t>
      </w:r>
      <w:r w:rsidR="00036186">
        <w:rPr>
          <w:rFonts w:ascii="Arial" w:hAnsi="Arial" w:cs="Arial"/>
        </w:rPr>
        <w:t>, we urge CMS to re</w:t>
      </w:r>
      <w:r>
        <w:rPr>
          <w:rFonts w:ascii="Arial" w:hAnsi="Arial" w:cs="Arial"/>
        </w:rPr>
        <w:t>examine h</w:t>
      </w:r>
      <w:r w:rsidR="00036186">
        <w:rPr>
          <w:rFonts w:ascii="Arial" w:hAnsi="Arial" w:cs="Arial"/>
        </w:rPr>
        <w:t xml:space="preserve">ow this policy affects </w:t>
      </w:r>
      <w:r>
        <w:rPr>
          <w:rFonts w:ascii="Arial" w:hAnsi="Arial" w:cs="Arial"/>
        </w:rPr>
        <w:t xml:space="preserve">the </w:t>
      </w:r>
      <w:r w:rsidR="00036186">
        <w:rPr>
          <w:rFonts w:ascii="Arial" w:hAnsi="Arial" w:cs="Arial"/>
        </w:rPr>
        <w:t>patients.  Many ANA members have expressed the hardships which their patients must endure – some driving many hours between chemotherapy treatments –</w:t>
      </w:r>
      <w:r>
        <w:rPr>
          <w:rFonts w:ascii="Arial" w:hAnsi="Arial" w:cs="Arial"/>
        </w:rPr>
        <w:t xml:space="preserve"> because they could not receive sequential outpatient </w:t>
      </w:r>
      <w:r>
        <w:rPr>
          <w:rFonts w:ascii="Arial" w:hAnsi="Arial" w:cs="Arial"/>
        </w:rPr>
        <w:lastRenderedPageBreak/>
        <w:t xml:space="preserve">treatments without the onsite presence of a physician or </w:t>
      </w:r>
      <w:proofErr w:type="spellStart"/>
      <w:r>
        <w:rPr>
          <w:rFonts w:ascii="Arial" w:hAnsi="Arial" w:cs="Arial"/>
        </w:rPr>
        <w:t>nonphysician</w:t>
      </w:r>
      <w:proofErr w:type="spellEnd"/>
      <w:r>
        <w:rPr>
          <w:rFonts w:ascii="Arial" w:hAnsi="Arial" w:cs="Arial"/>
        </w:rPr>
        <w:t xml:space="preserve"> provider.  We’ve also heard from providers who were immediately available within minutes – one even who lived directly across the street – but </w:t>
      </w:r>
      <w:r w:rsidR="00D53980">
        <w:rPr>
          <w:rFonts w:ascii="Arial" w:hAnsi="Arial" w:cs="Arial"/>
        </w:rPr>
        <w:t xml:space="preserve">nevertheless </w:t>
      </w:r>
      <w:r>
        <w:rPr>
          <w:rFonts w:ascii="Arial" w:hAnsi="Arial" w:cs="Arial"/>
        </w:rPr>
        <w:t>did</w:t>
      </w:r>
      <w:r w:rsidR="00D53980">
        <w:rPr>
          <w:rFonts w:ascii="Arial" w:hAnsi="Arial" w:cs="Arial"/>
        </w:rPr>
        <w:t xml:space="preserve"> </w:t>
      </w:r>
      <w:r>
        <w:rPr>
          <w:rFonts w:ascii="Arial" w:hAnsi="Arial" w:cs="Arial"/>
        </w:rPr>
        <w:t>n</w:t>
      </w:r>
      <w:r w:rsidR="00D53980">
        <w:rPr>
          <w:rFonts w:ascii="Arial" w:hAnsi="Arial" w:cs="Arial"/>
        </w:rPr>
        <w:t>o</w:t>
      </w:r>
      <w:r>
        <w:rPr>
          <w:rFonts w:ascii="Arial" w:hAnsi="Arial" w:cs="Arial"/>
        </w:rPr>
        <w:t xml:space="preserve">t fall within the limited definition of “physical presence.” </w:t>
      </w:r>
    </w:p>
    <w:p w:rsidR="004C2FE7" w:rsidRDefault="00FD5708" w:rsidP="006C4443">
      <w:pPr>
        <w:pStyle w:val="NormalWeb"/>
        <w:spacing w:line="285" w:lineRule="atLeast"/>
        <w:rPr>
          <w:rFonts w:ascii="Arial" w:hAnsi="Arial" w:cs="Arial"/>
        </w:rPr>
      </w:pPr>
      <w:r>
        <w:rPr>
          <w:rFonts w:ascii="Arial" w:hAnsi="Arial" w:cs="Arial"/>
          <w:b/>
        </w:rPr>
        <w:t>N</w:t>
      </w:r>
      <w:r w:rsidRPr="00FD5708">
        <w:rPr>
          <w:rFonts w:ascii="Arial" w:hAnsi="Arial" w:cs="Arial"/>
          <w:b/>
        </w:rPr>
        <w:t>ursing interventions not exempt should be subject to general supervision</w:t>
      </w:r>
      <w:r>
        <w:rPr>
          <w:rFonts w:ascii="Arial" w:hAnsi="Arial" w:cs="Arial"/>
          <w:b/>
        </w:rPr>
        <w:t xml:space="preserve">:  </w:t>
      </w:r>
      <w:r w:rsidR="00C21B01">
        <w:rPr>
          <w:rFonts w:ascii="Arial" w:hAnsi="Arial" w:cs="Arial"/>
        </w:rPr>
        <w:t xml:space="preserve">For those </w:t>
      </w:r>
      <w:r w:rsidR="004C2FE7">
        <w:rPr>
          <w:rFonts w:ascii="Arial" w:hAnsi="Arial" w:cs="Arial"/>
        </w:rPr>
        <w:t xml:space="preserve">independent </w:t>
      </w:r>
      <w:r w:rsidR="00C21B01">
        <w:rPr>
          <w:rFonts w:ascii="Arial" w:hAnsi="Arial" w:cs="Arial"/>
        </w:rPr>
        <w:t xml:space="preserve">nursing interventions which </w:t>
      </w:r>
      <w:r w:rsidR="004C2FE7">
        <w:rPr>
          <w:rFonts w:ascii="Arial" w:hAnsi="Arial" w:cs="Arial"/>
        </w:rPr>
        <w:t xml:space="preserve">are not </w:t>
      </w:r>
      <w:r w:rsidR="00C21B01">
        <w:rPr>
          <w:rFonts w:ascii="Arial" w:hAnsi="Arial" w:cs="Arial"/>
        </w:rPr>
        <w:t>exempt</w:t>
      </w:r>
      <w:r w:rsidR="004C2FE7">
        <w:rPr>
          <w:rFonts w:ascii="Arial" w:hAnsi="Arial" w:cs="Arial"/>
        </w:rPr>
        <w:t>ed</w:t>
      </w:r>
      <w:r w:rsidR="00C21B01">
        <w:rPr>
          <w:rFonts w:ascii="Arial" w:hAnsi="Arial" w:cs="Arial"/>
        </w:rPr>
        <w:t xml:space="preserve"> from the supervision requirements altogether, </w:t>
      </w:r>
      <w:r w:rsidR="004C2FE7">
        <w:rPr>
          <w:rFonts w:ascii="Arial" w:hAnsi="Arial" w:cs="Arial"/>
        </w:rPr>
        <w:t xml:space="preserve">we urge CMS to modify its “two-phase” approach to accommodate such services, and allow for general supervision after initiation of the therapy.  </w:t>
      </w:r>
      <w:r w:rsidR="00C21B01">
        <w:rPr>
          <w:rFonts w:ascii="Arial" w:hAnsi="Arial" w:cs="Arial"/>
        </w:rPr>
        <w:t xml:space="preserve">ANA supports the </w:t>
      </w:r>
      <w:r w:rsidR="004C2FE7">
        <w:rPr>
          <w:rFonts w:ascii="Arial" w:hAnsi="Arial" w:cs="Arial"/>
        </w:rPr>
        <w:t xml:space="preserve">general idea of the </w:t>
      </w:r>
      <w:r w:rsidR="00C21B01">
        <w:rPr>
          <w:rFonts w:ascii="Arial" w:hAnsi="Arial" w:cs="Arial"/>
        </w:rPr>
        <w:t>two-phase approach suggested in the proposed rule, for “nonsurgical extended duration therapeutic services.”  The</w:t>
      </w:r>
      <w:r w:rsidR="004C2FE7">
        <w:rPr>
          <w:rFonts w:ascii="Arial" w:hAnsi="Arial" w:cs="Arial"/>
        </w:rPr>
        <w:t>re are many therapeutic services which warrant the availability of a higher degree of hands-on, direct supervision when they are begun, because of the risks they involve, but once undertaken, can be continued safely with a lesser degree of general supervision.</w:t>
      </w:r>
    </w:p>
    <w:p w:rsidR="004C2FE7" w:rsidRDefault="004C2FE7" w:rsidP="002D1C49">
      <w:pPr>
        <w:pStyle w:val="NormalWeb"/>
        <w:spacing w:line="285" w:lineRule="atLeast"/>
        <w:rPr>
          <w:rFonts w:ascii="Arial" w:hAnsi="Arial" w:cs="Arial"/>
        </w:rPr>
      </w:pPr>
      <w:r>
        <w:rPr>
          <w:rFonts w:ascii="Arial" w:hAnsi="Arial" w:cs="Arial"/>
        </w:rPr>
        <w:t xml:space="preserve">However, we believe that CMS has too narrowly circumscribed the criteria for </w:t>
      </w:r>
      <w:r w:rsidR="000103FA">
        <w:rPr>
          <w:rFonts w:ascii="Arial" w:hAnsi="Arial" w:cs="Arial"/>
        </w:rPr>
        <w:t xml:space="preserve">services to qualify for </w:t>
      </w:r>
      <w:r>
        <w:rPr>
          <w:rFonts w:ascii="Arial" w:hAnsi="Arial" w:cs="Arial"/>
        </w:rPr>
        <w:t>this approach.  CMS would limit such services to those that are: of extended duration/frequently extending beyond normal business hours; mostly monitoring</w:t>
      </w:r>
      <w:r w:rsidR="000103FA">
        <w:rPr>
          <w:rFonts w:ascii="Arial" w:hAnsi="Arial" w:cs="Arial"/>
        </w:rPr>
        <w:t xml:space="preserve"> typically conducted by nurses or other hospital staff; sufficiently low risk to not normally require direct supervision; and not be a surgical service.</w:t>
      </w:r>
    </w:p>
    <w:p w:rsidR="000103FA" w:rsidRDefault="000103FA" w:rsidP="002D1C49">
      <w:pPr>
        <w:pStyle w:val="NormalWeb"/>
        <w:spacing w:line="285" w:lineRule="atLeast"/>
        <w:rPr>
          <w:rFonts w:ascii="Arial" w:hAnsi="Arial" w:cs="Arial"/>
        </w:rPr>
      </w:pPr>
      <w:r>
        <w:rPr>
          <w:rFonts w:ascii="Arial" w:hAnsi="Arial" w:cs="Arial"/>
        </w:rPr>
        <w:t xml:space="preserve">As noted above, many nursing practices – other than general monitoring – are customarily performed independently by nurses without direct supervision by physicians or </w:t>
      </w:r>
      <w:proofErr w:type="spellStart"/>
      <w:r>
        <w:rPr>
          <w:rFonts w:ascii="Arial" w:hAnsi="Arial" w:cs="Arial"/>
        </w:rPr>
        <w:t>nonphysician</w:t>
      </w:r>
      <w:proofErr w:type="spellEnd"/>
      <w:r>
        <w:rPr>
          <w:rFonts w:ascii="Arial" w:hAnsi="Arial" w:cs="Arial"/>
        </w:rPr>
        <w:t xml:space="preserve"> practitioners, particularly the administration of IV medications.  Is CMS truly suggesting that an RN is not capable of administering IV medications independently, without direct supervision of a physician?</w:t>
      </w:r>
    </w:p>
    <w:p w:rsidR="00FD5708" w:rsidRPr="00FD5708" w:rsidRDefault="00FD5708" w:rsidP="00FD5708">
      <w:pPr>
        <w:pStyle w:val="ListParagraph"/>
        <w:numPr>
          <w:ilvl w:val="0"/>
          <w:numId w:val="7"/>
        </w:numPr>
        <w:spacing w:after="0" w:line="240" w:lineRule="auto"/>
        <w:rPr>
          <w:rFonts w:ascii="Arial" w:eastAsia="Times New Roman" w:hAnsi="Arial" w:cs="Arial"/>
          <w:b/>
          <w:bCs/>
          <w:color w:val="000000"/>
          <w:sz w:val="24"/>
          <w:szCs w:val="24"/>
          <w:u w:val="single"/>
        </w:rPr>
      </w:pPr>
      <w:r>
        <w:rPr>
          <w:rFonts w:ascii="Arial" w:eastAsia="Times New Roman" w:hAnsi="Arial" w:cs="Arial"/>
          <w:b/>
          <w:sz w:val="24"/>
          <w:szCs w:val="24"/>
          <w:u w:val="single"/>
        </w:rPr>
        <w:t>Preventive Services</w:t>
      </w:r>
    </w:p>
    <w:p w:rsidR="00FD5708" w:rsidRDefault="00FD5708" w:rsidP="00FD5708">
      <w:pPr>
        <w:spacing w:after="0" w:line="240" w:lineRule="auto"/>
        <w:rPr>
          <w:rFonts w:ascii="Arial" w:eastAsia="Times New Roman" w:hAnsi="Arial" w:cs="Arial"/>
          <w:b/>
          <w:bCs/>
          <w:color w:val="000000"/>
          <w:sz w:val="24"/>
          <w:szCs w:val="24"/>
          <w:u w:val="single"/>
        </w:rPr>
      </w:pPr>
    </w:p>
    <w:p w:rsidR="00FD5708" w:rsidRDefault="00FD5708" w:rsidP="006C4443">
      <w:pPr>
        <w:spacing w:after="0" w:line="240" w:lineRule="auto"/>
        <w:rPr>
          <w:rFonts w:ascii="Arial" w:eastAsia="Times New Roman" w:hAnsi="Arial" w:cs="Arial"/>
          <w:bCs/>
          <w:color w:val="000000"/>
          <w:sz w:val="24"/>
          <w:szCs w:val="24"/>
        </w:rPr>
      </w:pPr>
      <w:r w:rsidRPr="00FD5708">
        <w:rPr>
          <w:rFonts w:ascii="Arial" w:eastAsia="Times New Roman" w:hAnsi="Arial" w:cs="Arial"/>
          <w:b/>
          <w:bCs/>
          <w:color w:val="000000"/>
          <w:sz w:val="24"/>
          <w:szCs w:val="24"/>
        </w:rPr>
        <w:t xml:space="preserve">Vaccines &amp; </w:t>
      </w:r>
      <w:r w:rsidR="006C4443">
        <w:rPr>
          <w:rFonts w:ascii="Arial" w:eastAsia="Times New Roman" w:hAnsi="Arial" w:cs="Arial"/>
          <w:b/>
          <w:bCs/>
          <w:color w:val="000000"/>
          <w:sz w:val="24"/>
          <w:szCs w:val="24"/>
        </w:rPr>
        <w:t>v</w:t>
      </w:r>
      <w:r w:rsidRPr="00FD5708">
        <w:rPr>
          <w:rFonts w:ascii="Arial" w:eastAsia="Times New Roman" w:hAnsi="Arial" w:cs="Arial"/>
          <w:b/>
          <w:bCs/>
          <w:color w:val="000000"/>
          <w:sz w:val="24"/>
          <w:szCs w:val="24"/>
        </w:rPr>
        <w:t xml:space="preserve">accine </w:t>
      </w:r>
      <w:r w:rsidR="006C4443">
        <w:rPr>
          <w:rFonts w:ascii="Arial" w:eastAsia="Times New Roman" w:hAnsi="Arial" w:cs="Arial"/>
          <w:b/>
          <w:bCs/>
          <w:color w:val="000000"/>
          <w:sz w:val="24"/>
          <w:szCs w:val="24"/>
        </w:rPr>
        <w:t>a</w:t>
      </w:r>
      <w:r w:rsidRPr="00FD5708">
        <w:rPr>
          <w:rFonts w:ascii="Arial" w:eastAsia="Times New Roman" w:hAnsi="Arial" w:cs="Arial"/>
          <w:b/>
          <w:bCs/>
          <w:color w:val="000000"/>
          <w:sz w:val="24"/>
          <w:szCs w:val="24"/>
        </w:rPr>
        <w:t xml:space="preserve">dministration:  </w:t>
      </w:r>
      <w:r>
        <w:rPr>
          <w:rFonts w:ascii="Arial" w:eastAsia="Times New Roman" w:hAnsi="Arial" w:cs="Arial"/>
          <w:bCs/>
          <w:color w:val="000000"/>
          <w:sz w:val="24"/>
          <w:szCs w:val="24"/>
        </w:rPr>
        <w:t>CMS has proposed that vaccines and vaccine administration qualify for the waiver of deductibles and coinsurance, despite the granting of a grade B from the United States Preventive Services Task Force</w:t>
      </w:r>
      <w:r w:rsidR="00684C12">
        <w:rPr>
          <w:rFonts w:ascii="Arial" w:eastAsia="Times New Roman" w:hAnsi="Arial" w:cs="Arial"/>
          <w:bCs/>
          <w:color w:val="000000"/>
          <w:sz w:val="24"/>
          <w:szCs w:val="24"/>
        </w:rPr>
        <w:t xml:space="preserve"> (USPSTF)</w:t>
      </w:r>
      <w:r>
        <w:rPr>
          <w:rFonts w:ascii="Arial" w:eastAsia="Times New Roman" w:hAnsi="Arial" w:cs="Arial"/>
          <w:bCs/>
          <w:color w:val="000000"/>
          <w:sz w:val="24"/>
          <w:szCs w:val="24"/>
        </w:rPr>
        <w:t xml:space="preserve">, </w:t>
      </w:r>
      <w:r w:rsidR="002A415B">
        <w:rPr>
          <w:rFonts w:ascii="Arial" w:eastAsia="Times New Roman" w:hAnsi="Arial" w:cs="Arial"/>
          <w:bCs/>
          <w:color w:val="000000"/>
          <w:sz w:val="24"/>
          <w:szCs w:val="24"/>
        </w:rPr>
        <w:t>more than</w:t>
      </w:r>
      <w:r>
        <w:rPr>
          <w:rFonts w:ascii="Arial" w:eastAsia="Times New Roman" w:hAnsi="Arial" w:cs="Arial"/>
          <w:bCs/>
          <w:color w:val="000000"/>
          <w:sz w:val="24"/>
          <w:szCs w:val="24"/>
        </w:rPr>
        <w:t xml:space="preserve"> 14 years ago.  ANA, which has been actively engaged in promoting the preventive health effects of vaccines for many years</w:t>
      </w:r>
      <w:r w:rsidR="00376DCF">
        <w:rPr>
          <w:rFonts w:ascii="Arial" w:eastAsia="Times New Roman" w:hAnsi="Arial" w:cs="Arial"/>
          <w:bCs/>
          <w:color w:val="000000"/>
          <w:sz w:val="24"/>
          <w:szCs w:val="24"/>
        </w:rPr>
        <w:t>, especially with its Bringing Immunity to Every Community initiative</w:t>
      </w:r>
      <w:r>
        <w:rPr>
          <w:rFonts w:ascii="Arial" w:eastAsia="Times New Roman" w:hAnsi="Arial" w:cs="Arial"/>
          <w:bCs/>
          <w:color w:val="000000"/>
          <w:sz w:val="24"/>
          <w:szCs w:val="24"/>
        </w:rPr>
        <w:t xml:space="preserve">, strongly supports this decision. </w:t>
      </w:r>
      <w:r w:rsidR="00684C12">
        <w:rPr>
          <w:rFonts w:ascii="Arial" w:eastAsia="Times New Roman" w:hAnsi="Arial" w:cs="Arial"/>
          <w:bCs/>
          <w:color w:val="000000"/>
          <w:sz w:val="24"/>
          <w:szCs w:val="24"/>
        </w:rPr>
        <w:t xml:space="preserve"> </w:t>
      </w:r>
      <w:r w:rsidR="0085049D">
        <w:rPr>
          <w:rFonts w:ascii="Arial" w:eastAsia="Times New Roman" w:hAnsi="Arial" w:cs="Arial"/>
          <w:bCs/>
          <w:color w:val="000000"/>
          <w:sz w:val="24"/>
          <w:szCs w:val="24"/>
        </w:rPr>
        <w:t xml:space="preserve">CMS’ proposal </w:t>
      </w:r>
      <w:r w:rsidR="00376DCF">
        <w:rPr>
          <w:rFonts w:ascii="Arial" w:eastAsia="Times New Roman" w:hAnsi="Arial" w:cs="Arial"/>
          <w:bCs/>
          <w:color w:val="000000"/>
          <w:sz w:val="24"/>
          <w:szCs w:val="24"/>
        </w:rPr>
        <w:t xml:space="preserve">will likely improve immunization access for older adults, providing </w:t>
      </w:r>
      <w:r w:rsidR="00684C12">
        <w:rPr>
          <w:rFonts w:ascii="Arial" w:eastAsia="Times New Roman" w:hAnsi="Arial" w:cs="Arial"/>
          <w:bCs/>
          <w:color w:val="000000"/>
          <w:sz w:val="24"/>
          <w:szCs w:val="24"/>
        </w:rPr>
        <w:t>an important tool in the prevention of often dangerous, even deadly, diseases for our most vulnerable populations.</w:t>
      </w:r>
    </w:p>
    <w:p w:rsidR="00684C12" w:rsidRDefault="00684C12" w:rsidP="00FD5708">
      <w:pPr>
        <w:spacing w:after="0" w:line="240" w:lineRule="auto"/>
        <w:ind w:firstLine="360"/>
        <w:rPr>
          <w:rFonts w:ascii="Arial" w:eastAsia="Times New Roman" w:hAnsi="Arial" w:cs="Arial"/>
          <w:bCs/>
          <w:color w:val="000000"/>
          <w:sz w:val="24"/>
          <w:szCs w:val="24"/>
        </w:rPr>
      </w:pPr>
    </w:p>
    <w:p w:rsidR="00684C12" w:rsidRDefault="00684C12" w:rsidP="006C4443">
      <w:pPr>
        <w:spacing w:after="0" w:line="240" w:lineRule="auto"/>
        <w:rPr>
          <w:rFonts w:ascii="Arial" w:eastAsia="Times New Roman" w:hAnsi="Arial" w:cs="Arial"/>
          <w:bCs/>
          <w:color w:val="000000"/>
          <w:sz w:val="24"/>
          <w:szCs w:val="24"/>
        </w:rPr>
      </w:pPr>
      <w:r>
        <w:rPr>
          <w:rFonts w:ascii="Arial" w:eastAsia="Times New Roman" w:hAnsi="Arial" w:cs="Arial"/>
          <w:b/>
          <w:bCs/>
          <w:color w:val="000000"/>
          <w:sz w:val="24"/>
          <w:szCs w:val="24"/>
        </w:rPr>
        <w:t xml:space="preserve">Other </w:t>
      </w:r>
      <w:r w:rsidR="006C4443">
        <w:rPr>
          <w:rFonts w:ascii="Arial" w:eastAsia="Times New Roman" w:hAnsi="Arial" w:cs="Arial"/>
          <w:b/>
          <w:bCs/>
          <w:color w:val="000000"/>
          <w:sz w:val="24"/>
          <w:szCs w:val="24"/>
        </w:rPr>
        <w:t>p</w:t>
      </w:r>
      <w:r w:rsidR="00A45C00">
        <w:rPr>
          <w:rFonts w:ascii="Arial" w:eastAsia="Times New Roman" w:hAnsi="Arial" w:cs="Arial"/>
          <w:b/>
          <w:bCs/>
          <w:color w:val="000000"/>
          <w:sz w:val="24"/>
          <w:szCs w:val="24"/>
        </w:rPr>
        <w:t xml:space="preserve">reventive </w:t>
      </w:r>
      <w:r w:rsidR="006C4443">
        <w:rPr>
          <w:rFonts w:ascii="Arial" w:eastAsia="Times New Roman" w:hAnsi="Arial" w:cs="Arial"/>
          <w:b/>
          <w:bCs/>
          <w:color w:val="000000"/>
          <w:sz w:val="24"/>
          <w:szCs w:val="24"/>
        </w:rPr>
        <w:t>s</w:t>
      </w:r>
      <w:r>
        <w:rPr>
          <w:rFonts w:ascii="Arial" w:eastAsia="Times New Roman" w:hAnsi="Arial" w:cs="Arial"/>
          <w:b/>
          <w:bCs/>
          <w:color w:val="000000"/>
          <w:sz w:val="24"/>
          <w:szCs w:val="24"/>
        </w:rPr>
        <w:t xml:space="preserve">ervices:  </w:t>
      </w:r>
      <w:r>
        <w:rPr>
          <w:rFonts w:ascii="Arial" w:eastAsia="Times New Roman" w:hAnsi="Arial" w:cs="Arial"/>
          <w:bCs/>
          <w:color w:val="000000"/>
          <w:sz w:val="24"/>
          <w:szCs w:val="24"/>
        </w:rPr>
        <w:t>CMS recommends continuing the deductible and coinsurance requirements for several preventive services which, while identified in section 1861 (</w:t>
      </w:r>
      <w:proofErr w:type="spellStart"/>
      <w:r>
        <w:rPr>
          <w:rFonts w:ascii="Arial" w:eastAsia="Times New Roman" w:hAnsi="Arial" w:cs="Arial"/>
          <w:bCs/>
          <w:color w:val="000000"/>
          <w:sz w:val="24"/>
          <w:szCs w:val="24"/>
        </w:rPr>
        <w:t>ddd</w:t>
      </w:r>
      <w:proofErr w:type="spellEnd"/>
      <w:r>
        <w:rPr>
          <w:rFonts w:ascii="Arial" w:eastAsia="Times New Roman" w:hAnsi="Arial" w:cs="Arial"/>
          <w:bCs/>
          <w:color w:val="000000"/>
          <w:sz w:val="24"/>
          <w:szCs w:val="24"/>
        </w:rPr>
        <w:t xml:space="preserve">)(3)(A) of the Affordable Care Act, were not designated with a grade of A or B by the USPSTF.  These are: (a) prostate cancer screening &amp; digital rectal exam; (b) glaucoma screening for high risk patients furnished by, or under direct supervision of, an optometrist or ophthalmologist; (c) diabetes outpatient self-management training; and (d) barium enemas provided as colorectal cancer screening tests (these subject to coinsurance only).  </w:t>
      </w:r>
    </w:p>
    <w:p w:rsidR="00684C12" w:rsidRDefault="00684C12" w:rsidP="00FD5708">
      <w:pPr>
        <w:spacing w:after="0" w:line="240" w:lineRule="auto"/>
        <w:ind w:firstLine="360"/>
        <w:rPr>
          <w:rFonts w:ascii="Arial" w:eastAsia="Times New Roman" w:hAnsi="Arial" w:cs="Arial"/>
          <w:bCs/>
          <w:color w:val="000000"/>
          <w:sz w:val="24"/>
          <w:szCs w:val="24"/>
        </w:rPr>
      </w:pPr>
    </w:p>
    <w:p w:rsidR="00FD5708" w:rsidRDefault="00684C12" w:rsidP="006C4443">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lastRenderedPageBreak/>
        <w:t xml:space="preserve">It is well within CMS’ discretion to eliminate application of the deductible and coinsurance requirements for these important preventive services, and we urge the agency to do so.  Encouraging Medicare beneficiaries to receive these crucial screenings – and particularly the diabetes self-management training – </w:t>
      </w:r>
      <w:r w:rsidR="00A45C00">
        <w:rPr>
          <w:rFonts w:ascii="Arial" w:eastAsia="Times New Roman" w:hAnsi="Arial" w:cs="Arial"/>
          <w:bCs/>
          <w:color w:val="000000"/>
          <w:sz w:val="24"/>
          <w:szCs w:val="24"/>
        </w:rPr>
        <w:t xml:space="preserve">by providing them free of charge </w:t>
      </w:r>
      <w:r>
        <w:rPr>
          <w:rFonts w:ascii="Arial" w:eastAsia="Times New Roman" w:hAnsi="Arial" w:cs="Arial"/>
          <w:bCs/>
          <w:color w:val="000000"/>
          <w:sz w:val="24"/>
          <w:szCs w:val="24"/>
        </w:rPr>
        <w:t xml:space="preserve">will no doubt ultimately save lives, and thereby decrease overall costs.  </w:t>
      </w:r>
    </w:p>
    <w:p w:rsidR="00A45C00" w:rsidRDefault="00A45C00" w:rsidP="00A45C00">
      <w:pPr>
        <w:spacing w:after="0" w:line="240" w:lineRule="auto"/>
        <w:ind w:firstLine="360"/>
        <w:rPr>
          <w:rFonts w:ascii="Arial" w:eastAsia="Times New Roman" w:hAnsi="Arial" w:cs="Arial"/>
          <w:bCs/>
          <w:color w:val="000000"/>
          <w:sz w:val="24"/>
          <w:szCs w:val="24"/>
        </w:rPr>
      </w:pPr>
    </w:p>
    <w:p w:rsidR="00A45C00" w:rsidRDefault="00A45C00" w:rsidP="006C4443">
      <w:pPr>
        <w:spacing w:after="0" w:line="240" w:lineRule="auto"/>
        <w:rPr>
          <w:rFonts w:ascii="Arial" w:eastAsia="Times New Roman" w:hAnsi="Arial" w:cs="Arial"/>
          <w:bCs/>
          <w:color w:val="000000"/>
          <w:sz w:val="24"/>
          <w:szCs w:val="24"/>
        </w:rPr>
      </w:pPr>
      <w:r>
        <w:rPr>
          <w:rFonts w:ascii="Arial" w:eastAsia="Times New Roman" w:hAnsi="Arial" w:cs="Arial"/>
          <w:b/>
          <w:bCs/>
          <w:color w:val="000000"/>
          <w:sz w:val="24"/>
          <w:szCs w:val="24"/>
        </w:rPr>
        <w:t xml:space="preserve">Colorectal </w:t>
      </w:r>
      <w:r w:rsidR="006C4443">
        <w:rPr>
          <w:rFonts w:ascii="Arial" w:eastAsia="Times New Roman" w:hAnsi="Arial" w:cs="Arial"/>
          <w:b/>
          <w:bCs/>
          <w:color w:val="000000"/>
          <w:sz w:val="24"/>
          <w:szCs w:val="24"/>
        </w:rPr>
        <w:t>c</w:t>
      </w:r>
      <w:r>
        <w:rPr>
          <w:rFonts w:ascii="Arial" w:eastAsia="Times New Roman" w:hAnsi="Arial" w:cs="Arial"/>
          <w:b/>
          <w:bCs/>
          <w:color w:val="000000"/>
          <w:sz w:val="24"/>
          <w:szCs w:val="24"/>
        </w:rPr>
        <w:t xml:space="preserve">ancer </w:t>
      </w:r>
      <w:r w:rsidR="006C4443">
        <w:rPr>
          <w:rFonts w:ascii="Arial" w:eastAsia="Times New Roman" w:hAnsi="Arial" w:cs="Arial"/>
          <w:b/>
          <w:bCs/>
          <w:color w:val="000000"/>
          <w:sz w:val="24"/>
          <w:szCs w:val="24"/>
        </w:rPr>
        <w:t>s</w:t>
      </w:r>
      <w:r>
        <w:rPr>
          <w:rFonts w:ascii="Arial" w:eastAsia="Times New Roman" w:hAnsi="Arial" w:cs="Arial"/>
          <w:b/>
          <w:bCs/>
          <w:color w:val="000000"/>
          <w:sz w:val="24"/>
          <w:szCs w:val="24"/>
        </w:rPr>
        <w:t xml:space="preserve">creenings:  </w:t>
      </w:r>
      <w:r>
        <w:rPr>
          <w:rFonts w:ascii="Arial" w:eastAsia="Times New Roman" w:hAnsi="Arial" w:cs="Arial"/>
          <w:bCs/>
          <w:color w:val="000000"/>
          <w:sz w:val="24"/>
          <w:szCs w:val="24"/>
        </w:rPr>
        <w:t xml:space="preserve">We also commend CMS for extending the waiver on the deductible to surgical services provided on the same date as a colorectal cancer screening test, such as a planned screening colonoscopy, planned flexible </w:t>
      </w:r>
      <w:proofErr w:type="spellStart"/>
      <w:r>
        <w:rPr>
          <w:rFonts w:ascii="Arial" w:eastAsia="Times New Roman" w:hAnsi="Arial" w:cs="Arial"/>
          <w:bCs/>
          <w:color w:val="000000"/>
          <w:sz w:val="24"/>
          <w:szCs w:val="24"/>
        </w:rPr>
        <w:t>sigmoidoscopy</w:t>
      </w:r>
      <w:proofErr w:type="spellEnd"/>
      <w:r>
        <w:rPr>
          <w:rFonts w:ascii="Arial" w:eastAsia="Times New Roman" w:hAnsi="Arial" w:cs="Arial"/>
          <w:bCs/>
          <w:color w:val="000000"/>
          <w:sz w:val="24"/>
          <w:szCs w:val="24"/>
        </w:rPr>
        <w:t>, or barium enema, when these become diagnostic.  This is consistent with section 4104(c) of the Affordable Care Act.</w:t>
      </w:r>
    </w:p>
    <w:p w:rsidR="00A45C00" w:rsidRDefault="00A45C00" w:rsidP="00A45C00">
      <w:pPr>
        <w:spacing w:after="0" w:line="240" w:lineRule="auto"/>
        <w:rPr>
          <w:rFonts w:ascii="Arial" w:eastAsia="Times New Roman" w:hAnsi="Arial" w:cs="Arial"/>
          <w:bCs/>
          <w:color w:val="000000"/>
          <w:sz w:val="24"/>
          <w:szCs w:val="24"/>
        </w:rPr>
      </w:pPr>
    </w:p>
    <w:p w:rsidR="00A45C00" w:rsidRPr="00A45C00" w:rsidRDefault="00A45C00" w:rsidP="00A45C00">
      <w:pPr>
        <w:pStyle w:val="ListParagraph"/>
        <w:numPr>
          <w:ilvl w:val="0"/>
          <w:numId w:val="7"/>
        </w:num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w:t>
      </w:r>
      <w:r>
        <w:rPr>
          <w:rFonts w:ascii="Arial" w:eastAsia="Times New Roman" w:hAnsi="Arial" w:cs="Arial"/>
          <w:b/>
          <w:bCs/>
          <w:color w:val="000000"/>
          <w:sz w:val="24"/>
          <w:szCs w:val="24"/>
          <w:u w:val="single"/>
        </w:rPr>
        <w:t>Quality Measures for Hospital Outpatient Quality Data Reporting Program (HOP QDRP)</w:t>
      </w:r>
    </w:p>
    <w:p w:rsidR="00A45C00" w:rsidRDefault="00A45C00" w:rsidP="00A45C00">
      <w:pPr>
        <w:spacing w:after="0" w:line="240" w:lineRule="auto"/>
        <w:ind w:left="360"/>
        <w:rPr>
          <w:rFonts w:ascii="Arial" w:eastAsia="Times New Roman" w:hAnsi="Arial" w:cs="Arial"/>
          <w:b/>
          <w:bCs/>
          <w:color w:val="000000"/>
          <w:sz w:val="24"/>
          <w:szCs w:val="24"/>
          <w:u w:val="single"/>
        </w:rPr>
      </w:pPr>
    </w:p>
    <w:p w:rsidR="00011181" w:rsidRPr="00011181" w:rsidRDefault="00A45C00" w:rsidP="006C4443">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CMS has proposed significant changes to the HOP QDRP program, including a proposed multi-year approach, to assist hospitals in planning for and complying with the program’s reporting requirements.  Many of the new and revised measures have received endorsement from the National Quality Forum</w:t>
      </w:r>
      <w:r w:rsidR="00011181">
        <w:rPr>
          <w:rFonts w:ascii="Arial" w:eastAsia="Times New Roman" w:hAnsi="Arial" w:cs="Arial"/>
          <w:bCs/>
          <w:color w:val="000000"/>
          <w:sz w:val="24"/>
          <w:szCs w:val="24"/>
        </w:rPr>
        <w:t xml:space="preserve">, and/or adoption by the Hospital Quality Alliance.  ANA is a member of the National Quality Forum, and we strongly support adoption of measures appropriate to outpatient settings, which the NQF </w:t>
      </w:r>
      <w:r w:rsidR="0085049D">
        <w:rPr>
          <w:rFonts w:ascii="Arial" w:eastAsia="Times New Roman" w:hAnsi="Arial" w:cs="Arial"/>
          <w:bCs/>
          <w:color w:val="000000"/>
          <w:sz w:val="24"/>
          <w:szCs w:val="24"/>
        </w:rPr>
        <w:t>expert panels have</w:t>
      </w:r>
      <w:r w:rsidR="00011181">
        <w:rPr>
          <w:rFonts w:ascii="Arial" w:eastAsia="Times New Roman" w:hAnsi="Arial" w:cs="Arial"/>
          <w:bCs/>
          <w:color w:val="000000"/>
          <w:sz w:val="24"/>
          <w:szCs w:val="24"/>
        </w:rPr>
        <w:t xml:space="preserve"> endorsed.  </w:t>
      </w:r>
    </w:p>
    <w:p w:rsidR="00A45C00" w:rsidRDefault="00A45C00" w:rsidP="008C48F5">
      <w:pPr>
        <w:spacing w:after="0" w:line="240" w:lineRule="auto"/>
        <w:rPr>
          <w:rFonts w:ascii="Arial" w:eastAsia="Times New Roman" w:hAnsi="Arial" w:cs="Arial"/>
          <w:bCs/>
          <w:color w:val="000000"/>
          <w:sz w:val="24"/>
          <w:szCs w:val="24"/>
        </w:rPr>
      </w:pPr>
    </w:p>
    <w:p w:rsidR="00F351A1" w:rsidRDefault="00011181" w:rsidP="006C4443">
      <w:pPr>
        <w:spacing w:after="0" w:line="240" w:lineRule="auto"/>
        <w:rPr>
          <w:rFonts w:ascii="Arial" w:eastAsia="Times New Roman" w:hAnsi="Arial" w:cs="Arial"/>
          <w:bCs/>
          <w:color w:val="000000"/>
          <w:sz w:val="24"/>
          <w:szCs w:val="24"/>
        </w:rPr>
      </w:pPr>
      <w:r>
        <w:rPr>
          <w:rFonts w:ascii="Arial" w:eastAsia="Times New Roman" w:hAnsi="Arial" w:cs="Arial"/>
          <w:b/>
          <w:bCs/>
          <w:color w:val="000000"/>
          <w:sz w:val="24"/>
          <w:szCs w:val="24"/>
        </w:rPr>
        <w:t xml:space="preserve">Chart-abstracted measures:  </w:t>
      </w:r>
      <w:r>
        <w:rPr>
          <w:rFonts w:ascii="Arial" w:eastAsia="Times New Roman" w:hAnsi="Arial" w:cs="Arial"/>
          <w:bCs/>
          <w:color w:val="000000"/>
          <w:sz w:val="24"/>
          <w:szCs w:val="24"/>
        </w:rPr>
        <w:t>We also support the adoption of 6 new chart-abstracted measures involving efficiency in emergency departments</w:t>
      </w:r>
      <w:r w:rsidR="00376DCF">
        <w:rPr>
          <w:rFonts w:ascii="Arial" w:eastAsia="Times New Roman" w:hAnsi="Arial" w:cs="Arial"/>
          <w:bCs/>
          <w:color w:val="000000"/>
          <w:sz w:val="24"/>
          <w:szCs w:val="24"/>
        </w:rPr>
        <w:t xml:space="preserve"> (EDs)</w:t>
      </w:r>
      <w:r>
        <w:rPr>
          <w:rFonts w:ascii="Arial" w:eastAsia="Times New Roman" w:hAnsi="Arial" w:cs="Arial"/>
          <w:bCs/>
          <w:color w:val="000000"/>
          <w:sz w:val="24"/>
          <w:szCs w:val="24"/>
        </w:rPr>
        <w:t xml:space="preserve">, which include care coordination – an important function of many RNs employed in EDs and many other outpatient departments and facilities.  By requiring EDs to report on </w:t>
      </w:r>
      <w:r w:rsidR="00F351A1">
        <w:rPr>
          <w:rFonts w:ascii="Arial" w:eastAsia="Times New Roman" w:hAnsi="Arial" w:cs="Arial"/>
          <w:bCs/>
          <w:color w:val="000000"/>
          <w:sz w:val="24"/>
          <w:szCs w:val="24"/>
        </w:rPr>
        <w:t xml:space="preserve">certain times for treatment and diagnosis, </w:t>
      </w:r>
      <w:r>
        <w:rPr>
          <w:rFonts w:ascii="Arial" w:eastAsia="Times New Roman" w:hAnsi="Arial" w:cs="Arial"/>
          <w:bCs/>
          <w:color w:val="000000"/>
          <w:sz w:val="24"/>
          <w:szCs w:val="24"/>
        </w:rPr>
        <w:t xml:space="preserve">discharge destinations, </w:t>
      </w:r>
      <w:r w:rsidR="00F351A1">
        <w:rPr>
          <w:rFonts w:ascii="Arial" w:eastAsia="Times New Roman" w:hAnsi="Arial" w:cs="Arial"/>
          <w:bCs/>
          <w:color w:val="000000"/>
          <w:sz w:val="24"/>
          <w:szCs w:val="24"/>
        </w:rPr>
        <w:t xml:space="preserve">and patients who leave without seeing a provider, this will raise these items to a priority – and ultimately improve patient care.  </w:t>
      </w:r>
    </w:p>
    <w:p w:rsidR="00F351A1" w:rsidRDefault="00F351A1" w:rsidP="00A45C00">
      <w:pPr>
        <w:spacing w:after="0" w:line="240" w:lineRule="auto"/>
        <w:ind w:firstLine="360"/>
        <w:rPr>
          <w:rFonts w:ascii="Arial" w:eastAsia="Times New Roman" w:hAnsi="Arial" w:cs="Arial"/>
          <w:bCs/>
          <w:color w:val="000000"/>
          <w:sz w:val="24"/>
          <w:szCs w:val="24"/>
        </w:rPr>
      </w:pPr>
    </w:p>
    <w:p w:rsidR="00011181" w:rsidRDefault="00F351A1" w:rsidP="006C4443">
      <w:pPr>
        <w:spacing w:after="0" w:line="240" w:lineRule="auto"/>
        <w:rPr>
          <w:rFonts w:ascii="Arial" w:eastAsia="Times New Roman" w:hAnsi="Arial" w:cs="Arial"/>
          <w:bCs/>
          <w:color w:val="000000"/>
          <w:sz w:val="24"/>
          <w:szCs w:val="24"/>
        </w:rPr>
      </w:pPr>
      <w:r>
        <w:rPr>
          <w:rFonts w:ascii="Arial" w:eastAsia="Times New Roman" w:hAnsi="Arial" w:cs="Arial"/>
          <w:b/>
          <w:bCs/>
          <w:color w:val="000000"/>
          <w:sz w:val="24"/>
          <w:szCs w:val="24"/>
        </w:rPr>
        <w:t xml:space="preserve">Measures for future consideration: </w:t>
      </w:r>
      <w:r>
        <w:rPr>
          <w:rFonts w:ascii="Arial" w:eastAsia="Times New Roman" w:hAnsi="Arial" w:cs="Arial"/>
          <w:bCs/>
          <w:color w:val="000000"/>
          <w:sz w:val="24"/>
          <w:szCs w:val="24"/>
        </w:rPr>
        <w:t xml:space="preserve"> ANA supports the future adoption of the following proposed measures, which relate specifically to care and services provided by nurses:</w:t>
      </w:r>
    </w:p>
    <w:p w:rsidR="00F351A1" w:rsidRDefault="00F351A1" w:rsidP="00F351A1">
      <w:pPr>
        <w:pStyle w:val="ListParagraph"/>
        <w:numPr>
          <w:ilvl w:val="0"/>
          <w:numId w:val="11"/>
        </w:num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Emergency Department Transfer Communication:  Nursing Information</w:t>
      </w:r>
    </w:p>
    <w:p w:rsidR="00F351A1" w:rsidRDefault="00F351A1" w:rsidP="00F351A1">
      <w:pPr>
        <w:pStyle w:val="ListParagraph"/>
        <w:numPr>
          <w:ilvl w:val="0"/>
          <w:numId w:val="11"/>
        </w:num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Pneumococcal Vaccination Status</w:t>
      </w:r>
    </w:p>
    <w:p w:rsidR="00F351A1" w:rsidRDefault="00F351A1" w:rsidP="00F351A1">
      <w:pPr>
        <w:pStyle w:val="ListParagraph"/>
        <w:numPr>
          <w:ilvl w:val="0"/>
          <w:numId w:val="11"/>
        </w:num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Influenza Vaccination Status</w:t>
      </w:r>
    </w:p>
    <w:p w:rsidR="00F351A1" w:rsidRDefault="00F351A1" w:rsidP="00F351A1">
      <w:pPr>
        <w:pStyle w:val="ListParagraph"/>
        <w:numPr>
          <w:ilvl w:val="0"/>
          <w:numId w:val="11"/>
        </w:num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Medication Reconciliation</w:t>
      </w:r>
    </w:p>
    <w:p w:rsidR="00F351A1" w:rsidRDefault="00F351A1" w:rsidP="00F351A1">
      <w:pPr>
        <w:pStyle w:val="ListParagraph"/>
        <w:numPr>
          <w:ilvl w:val="0"/>
          <w:numId w:val="11"/>
        </w:num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Heart Failure: Patient Education</w:t>
      </w:r>
    </w:p>
    <w:p w:rsidR="00F351A1" w:rsidRDefault="00F351A1" w:rsidP="00F351A1">
      <w:pPr>
        <w:pStyle w:val="ListParagraph"/>
        <w:numPr>
          <w:ilvl w:val="0"/>
          <w:numId w:val="11"/>
        </w:num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Heart Failure: End of Life Care Plan</w:t>
      </w:r>
    </w:p>
    <w:p w:rsidR="00A45C00" w:rsidRPr="00F351A1" w:rsidRDefault="00F351A1" w:rsidP="00F351A1">
      <w:pPr>
        <w:pStyle w:val="ListParagraph"/>
        <w:numPr>
          <w:ilvl w:val="0"/>
          <w:numId w:val="11"/>
        </w:numPr>
        <w:spacing w:after="0" w:line="240" w:lineRule="auto"/>
        <w:rPr>
          <w:rFonts w:ascii="Arial" w:eastAsia="Times New Roman" w:hAnsi="Arial" w:cs="Arial"/>
          <w:bCs/>
          <w:color w:val="000000"/>
          <w:sz w:val="24"/>
          <w:szCs w:val="24"/>
        </w:rPr>
      </w:pPr>
      <w:r w:rsidRPr="00F351A1">
        <w:rPr>
          <w:rFonts w:ascii="Arial" w:eastAsia="Times New Roman" w:hAnsi="Arial" w:cs="Arial"/>
          <w:bCs/>
          <w:color w:val="000000"/>
          <w:sz w:val="24"/>
          <w:szCs w:val="24"/>
        </w:rPr>
        <w:t>Other quality measures to assess and prevent healthcare associated infections</w:t>
      </w:r>
    </w:p>
    <w:p w:rsidR="00FD5708" w:rsidRDefault="00FD5708" w:rsidP="00DD6FB2">
      <w:pPr>
        <w:spacing w:after="0" w:line="240" w:lineRule="auto"/>
        <w:rPr>
          <w:rFonts w:ascii="Arial" w:eastAsia="Times New Roman" w:hAnsi="Arial" w:cs="Arial"/>
          <w:b/>
          <w:bCs/>
          <w:color w:val="000000"/>
          <w:sz w:val="24"/>
          <w:szCs w:val="24"/>
        </w:rPr>
      </w:pPr>
    </w:p>
    <w:p w:rsidR="0085049D" w:rsidRDefault="0085049D">
      <w:pPr>
        <w:rPr>
          <w:rFonts w:ascii="Arial" w:eastAsia="Times New Roman" w:hAnsi="Arial" w:cs="Arial"/>
          <w:b/>
          <w:bCs/>
          <w:color w:val="000000"/>
          <w:sz w:val="24"/>
          <w:szCs w:val="24"/>
        </w:rPr>
      </w:pPr>
      <w:r>
        <w:rPr>
          <w:rFonts w:ascii="Arial" w:eastAsia="Times New Roman" w:hAnsi="Arial" w:cs="Arial"/>
          <w:b/>
          <w:bCs/>
          <w:color w:val="000000"/>
          <w:sz w:val="24"/>
          <w:szCs w:val="24"/>
        </w:rPr>
        <w:br w:type="page"/>
      </w:r>
    </w:p>
    <w:p w:rsidR="0056625D" w:rsidRPr="00DD6FB2" w:rsidRDefault="00DD6FB2" w:rsidP="00DD6FB2">
      <w:pPr>
        <w:spacing w:after="0" w:line="240" w:lineRule="auto"/>
        <w:rPr>
          <w:rFonts w:ascii="Arial" w:eastAsia="Times New Roman" w:hAnsi="Arial" w:cs="Arial"/>
          <w:b/>
          <w:bCs/>
          <w:color w:val="000000"/>
          <w:sz w:val="24"/>
          <w:szCs w:val="24"/>
        </w:rPr>
      </w:pPr>
      <w:r w:rsidRPr="00DD6FB2">
        <w:rPr>
          <w:rFonts w:ascii="Arial" w:eastAsia="Times New Roman" w:hAnsi="Arial" w:cs="Arial"/>
          <w:b/>
          <w:bCs/>
          <w:color w:val="000000"/>
          <w:sz w:val="24"/>
          <w:szCs w:val="24"/>
        </w:rPr>
        <w:lastRenderedPageBreak/>
        <w:t xml:space="preserve">II.  Ambulatory Surgical Centers Prospective Payment System </w:t>
      </w:r>
      <w:r>
        <w:rPr>
          <w:rFonts w:ascii="Arial" w:eastAsia="Times New Roman" w:hAnsi="Arial" w:cs="Arial"/>
          <w:b/>
          <w:bCs/>
          <w:color w:val="000000"/>
          <w:sz w:val="24"/>
          <w:szCs w:val="24"/>
        </w:rPr>
        <w:t xml:space="preserve">(ASCPPS) </w:t>
      </w:r>
      <w:r w:rsidRPr="00DD6FB2">
        <w:rPr>
          <w:rFonts w:ascii="Arial" w:eastAsia="Times New Roman" w:hAnsi="Arial" w:cs="Arial"/>
          <w:b/>
          <w:bCs/>
          <w:color w:val="000000"/>
          <w:sz w:val="24"/>
          <w:szCs w:val="24"/>
        </w:rPr>
        <w:t>Proposed Rule</w:t>
      </w:r>
    </w:p>
    <w:p w:rsidR="0056625D" w:rsidRDefault="0056625D" w:rsidP="001A3E06">
      <w:pPr>
        <w:spacing w:after="0" w:line="240" w:lineRule="auto"/>
        <w:rPr>
          <w:rFonts w:ascii="Arial" w:eastAsia="Times New Roman" w:hAnsi="Arial" w:cs="Arial"/>
          <w:bCs/>
          <w:color w:val="000000"/>
          <w:sz w:val="24"/>
          <w:szCs w:val="24"/>
        </w:rPr>
      </w:pPr>
    </w:p>
    <w:p w:rsidR="00A206A1" w:rsidRPr="00FD5708" w:rsidRDefault="00950ABD" w:rsidP="00FD5708">
      <w:pPr>
        <w:pStyle w:val="ListParagraph"/>
        <w:numPr>
          <w:ilvl w:val="0"/>
          <w:numId w:val="9"/>
        </w:numPr>
        <w:spacing w:after="0" w:line="240" w:lineRule="auto"/>
        <w:rPr>
          <w:rFonts w:ascii="Arial" w:eastAsia="Times New Roman" w:hAnsi="Arial" w:cs="Arial"/>
          <w:b/>
          <w:bCs/>
          <w:color w:val="000000"/>
          <w:sz w:val="24"/>
          <w:szCs w:val="24"/>
        </w:rPr>
      </w:pPr>
      <w:r w:rsidRPr="00FD5708">
        <w:rPr>
          <w:rFonts w:ascii="Arial" w:eastAsia="Times New Roman" w:hAnsi="Arial" w:cs="Arial"/>
          <w:b/>
          <w:bCs/>
          <w:color w:val="000000"/>
          <w:sz w:val="24"/>
          <w:szCs w:val="24"/>
          <w:u w:val="single"/>
        </w:rPr>
        <w:t xml:space="preserve">CMS </w:t>
      </w:r>
      <w:r w:rsidR="00F07BF3" w:rsidRPr="00FD5708">
        <w:rPr>
          <w:rFonts w:ascii="Arial" w:eastAsia="Times New Roman" w:hAnsi="Arial" w:cs="Arial"/>
          <w:b/>
          <w:bCs/>
          <w:color w:val="000000"/>
          <w:sz w:val="24"/>
          <w:szCs w:val="24"/>
          <w:u w:val="single"/>
        </w:rPr>
        <w:t xml:space="preserve">Should Expeditiously Initiate </w:t>
      </w:r>
      <w:r w:rsidR="009362AE" w:rsidRPr="00FD5708">
        <w:rPr>
          <w:rFonts w:ascii="Arial" w:eastAsia="Times New Roman" w:hAnsi="Arial" w:cs="Arial"/>
          <w:b/>
          <w:bCs/>
          <w:color w:val="000000"/>
          <w:sz w:val="24"/>
          <w:szCs w:val="24"/>
          <w:u w:val="single"/>
        </w:rPr>
        <w:t xml:space="preserve">Mandatory </w:t>
      </w:r>
      <w:r w:rsidRPr="00FD5708">
        <w:rPr>
          <w:rFonts w:ascii="Arial" w:eastAsia="Times New Roman" w:hAnsi="Arial" w:cs="Arial"/>
          <w:b/>
          <w:bCs/>
          <w:color w:val="000000"/>
          <w:sz w:val="24"/>
          <w:szCs w:val="24"/>
          <w:u w:val="single"/>
        </w:rPr>
        <w:t xml:space="preserve">Quality Reporting </w:t>
      </w:r>
      <w:r w:rsidR="00F906E9" w:rsidRPr="00FD5708">
        <w:rPr>
          <w:rFonts w:ascii="Arial" w:eastAsia="Times New Roman" w:hAnsi="Arial" w:cs="Arial"/>
          <w:b/>
          <w:bCs/>
          <w:color w:val="000000"/>
          <w:sz w:val="24"/>
          <w:szCs w:val="24"/>
          <w:u w:val="single"/>
        </w:rPr>
        <w:t>By</w:t>
      </w:r>
      <w:r w:rsidR="009362AE" w:rsidRPr="00FD5708">
        <w:rPr>
          <w:rFonts w:ascii="Arial" w:eastAsia="Times New Roman" w:hAnsi="Arial" w:cs="Arial"/>
          <w:b/>
          <w:bCs/>
          <w:color w:val="000000"/>
          <w:sz w:val="24"/>
          <w:szCs w:val="24"/>
          <w:u w:val="single"/>
        </w:rPr>
        <w:t xml:space="preserve"> </w:t>
      </w:r>
      <w:r w:rsidR="0056625D" w:rsidRPr="00FD5708">
        <w:rPr>
          <w:rFonts w:ascii="Arial" w:eastAsia="Times New Roman" w:hAnsi="Arial" w:cs="Arial"/>
          <w:b/>
          <w:bCs/>
          <w:color w:val="000000"/>
          <w:sz w:val="24"/>
          <w:szCs w:val="24"/>
          <w:u w:val="single"/>
        </w:rPr>
        <w:t>Ambulatory Surgical Centers</w:t>
      </w:r>
      <w:r w:rsidR="00A206A1" w:rsidRPr="00FD5708">
        <w:rPr>
          <w:rFonts w:ascii="Arial" w:eastAsia="Times New Roman" w:hAnsi="Arial" w:cs="Arial"/>
          <w:b/>
          <w:bCs/>
          <w:color w:val="000000"/>
          <w:sz w:val="24"/>
          <w:szCs w:val="24"/>
        </w:rPr>
        <w:t xml:space="preserve">  </w:t>
      </w:r>
    </w:p>
    <w:p w:rsidR="00A206A1" w:rsidRDefault="00A206A1" w:rsidP="001A3E06">
      <w:pPr>
        <w:spacing w:after="0" w:line="240" w:lineRule="auto"/>
        <w:rPr>
          <w:rFonts w:ascii="Arial" w:eastAsia="Times New Roman" w:hAnsi="Arial" w:cs="Arial"/>
          <w:b/>
          <w:bCs/>
          <w:color w:val="000000"/>
          <w:sz w:val="24"/>
          <w:szCs w:val="24"/>
        </w:rPr>
      </w:pPr>
    </w:p>
    <w:p w:rsidR="00950ABD" w:rsidRDefault="0056625D" w:rsidP="001A3E06">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 xml:space="preserve">In the ASC proposed rule, CMS has again chosen to delay requiring ambulatory surgical centers to begin mandatory reporting of quality measures, </w:t>
      </w:r>
      <w:r w:rsidR="00950ABD">
        <w:rPr>
          <w:rFonts w:ascii="Arial" w:eastAsia="Times New Roman" w:hAnsi="Arial" w:cs="Arial"/>
          <w:bCs/>
          <w:color w:val="000000"/>
          <w:sz w:val="24"/>
          <w:szCs w:val="24"/>
        </w:rPr>
        <w:t xml:space="preserve">citing the need for </w:t>
      </w:r>
      <w:r>
        <w:rPr>
          <w:rFonts w:ascii="Arial" w:eastAsia="Times New Roman" w:hAnsi="Arial" w:cs="Arial"/>
          <w:bCs/>
          <w:color w:val="000000"/>
          <w:sz w:val="24"/>
          <w:szCs w:val="24"/>
        </w:rPr>
        <w:t xml:space="preserve">ASCs </w:t>
      </w:r>
      <w:r w:rsidR="00950ABD">
        <w:rPr>
          <w:rFonts w:ascii="Arial" w:eastAsia="Times New Roman" w:hAnsi="Arial" w:cs="Arial"/>
          <w:bCs/>
          <w:color w:val="000000"/>
          <w:sz w:val="24"/>
          <w:szCs w:val="24"/>
        </w:rPr>
        <w:t>t</w:t>
      </w:r>
      <w:r>
        <w:rPr>
          <w:rFonts w:ascii="Arial" w:eastAsia="Times New Roman" w:hAnsi="Arial" w:cs="Arial"/>
          <w:bCs/>
          <w:color w:val="000000"/>
          <w:sz w:val="24"/>
          <w:szCs w:val="24"/>
        </w:rPr>
        <w:t xml:space="preserve">o adjust to the new payment system.  </w:t>
      </w:r>
      <w:r w:rsidR="00F156F3">
        <w:rPr>
          <w:rFonts w:ascii="Arial" w:eastAsia="Times New Roman" w:hAnsi="Arial" w:cs="Arial"/>
          <w:bCs/>
          <w:color w:val="000000"/>
          <w:sz w:val="24"/>
          <w:szCs w:val="24"/>
        </w:rPr>
        <w:t>T</w:t>
      </w:r>
      <w:r>
        <w:rPr>
          <w:rFonts w:ascii="Arial" w:eastAsia="Times New Roman" w:hAnsi="Arial" w:cs="Arial"/>
          <w:bCs/>
          <w:color w:val="000000"/>
          <w:sz w:val="24"/>
          <w:szCs w:val="24"/>
        </w:rPr>
        <w:t xml:space="preserve">he four-year transition period to the current payment system began in CY 2008, and </w:t>
      </w:r>
      <w:r w:rsidR="00950ABD">
        <w:rPr>
          <w:rFonts w:ascii="Arial" w:eastAsia="Times New Roman" w:hAnsi="Arial" w:cs="Arial"/>
          <w:bCs/>
          <w:color w:val="000000"/>
          <w:sz w:val="24"/>
          <w:szCs w:val="24"/>
        </w:rPr>
        <w:t xml:space="preserve">will be fully implemented in calendar year 2011.  Presumably, ASCs will also require a reasonable time period to </w:t>
      </w:r>
      <w:r w:rsidR="00F07BF3">
        <w:rPr>
          <w:rFonts w:ascii="Arial" w:eastAsia="Times New Roman" w:hAnsi="Arial" w:cs="Arial"/>
          <w:bCs/>
          <w:color w:val="000000"/>
          <w:sz w:val="24"/>
          <w:szCs w:val="24"/>
        </w:rPr>
        <w:t>implement</w:t>
      </w:r>
      <w:r w:rsidR="00950ABD">
        <w:rPr>
          <w:rFonts w:ascii="Arial" w:eastAsia="Times New Roman" w:hAnsi="Arial" w:cs="Arial"/>
          <w:bCs/>
          <w:color w:val="000000"/>
          <w:sz w:val="24"/>
          <w:szCs w:val="24"/>
        </w:rPr>
        <w:t xml:space="preserve"> new quality reporting measures.  </w:t>
      </w:r>
    </w:p>
    <w:p w:rsidR="00950ABD" w:rsidRDefault="00950ABD" w:rsidP="001A3E06">
      <w:pPr>
        <w:spacing w:after="0" w:line="240" w:lineRule="auto"/>
        <w:rPr>
          <w:rFonts w:ascii="Arial" w:eastAsia="Times New Roman" w:hAnsi="Arial" w:cs="Arial"/>
          <w:bCs/>
          <w:color w:val="000000"/>
          <w:sz w:val="24"/>
          <w:szCs w:val="24"/>
        </w:rPr>
      </w:pPr>
    </w:p>
    <w:p w:rsidR="00950ABD" w:rsidRDefault="00950ABD" w:rsidP="001A3E06">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According to the agency’s data, there are currently about 5,000 ASCs which are scheduled to receive $3.4 billion on Medicare reimbursement in CY 2011</w:t>
      </w:r>
      <w:r w:rsidR="009362AE">
        <w:rPr>
          <w:rFonts w:ascii="Arial" w:eastAsia="Times New Roman" w:hAnsi="Arial" w:cs="Arial"/>
          <w:bCs/>
          <w:color w:val="000000"/>
          <w:sz w:val="24"/>
          <w:szCs w:val="24"/>
        </w:rPr>
        <w:t xml:space="preserve">, and CMS is proposing five additions to the list of ASC covered procedures.  </w:t>
      </w:r>
      <w:r>
        <w:rPr>
          <w:rFonts w:ascii="Arial" w:eastAsia="Times New Roman" w:hAnsi="Arial" w:cs="Arial"/>
          <w:bCs/>
          <w:color w:val="000000"/>
          <w:sz w:val="24"/>
          <w:szCs w:val="24"/>
        </w:rPr>
        <w:t xml:space="preserve">Ambulatory surgical centers account for a significant proportion of </w:t>
      </w:r>
      <w:r w:rsidR="00F156F3">
        <w:rPr>
          <w:rFonts w:ascii="Arial" w:eastAsia="Times New Roman" w:hAnsi="Arial" w:cs="Arial"/>
          <w:bCs/>
          <w:color w:val="000000"/>
          <w:sz w:val="24"/>
          <w:szCs w:val="24"/>
        </w:rPr>
        <w:t xml:space="preserve">many of the most common </w:t>
      </w:r>
      <w:r>
        <w:rPr>
          <w:rFonts w:ascii="Arial" w:eastAsia="Times New Roman" w:hAnsi="Arial" w:cs="Arial"/>
          <w:bCs/>
          <w:color w:val="000000"/>
          <w:sz w:val="24"/>
          <w:szCs w:val="24"/>
        </w:rPr>
        <w:t xml:space="preserve">surgical procedures performed on Medicare beneficiaries, as well as other patients.  These patients </w:t>
      </w:r>
      <w:r w:rsidR="00F156F3">
        <w:rPr>
          <w:rFonts w:ascii="Arial" w:eastAsia="Times New Roman" w:hAnsi="Arial" w:cs="Arial"/>
          <w:bCs/>
          <w:color w:val="000000"/>
          <w:sz w:val="24"/>
          <w:szCs w:val="24"/>
        </w:rPr>
        <w:t xml:space="preserve">take for granted that they are receiving a high quality of care, and </w:t>
      </w:r>
      <w:r w:rsidR="009362AE">
        <w:rPr>
          <w:rFonts w:ascii="Arial" w:eastAsia="Times New Roman" w:hAnsi="Arial" w:cs="Arial"/>
          <w:bCs/>
          <w:color w:val="000000"/>
          <w:sz w:val="24"/>
          <w:szCs w:val="24"/>
        </w:rPr>
        <w:t xml:space="preserve">are likely unaware </w:t>
      </w:r>
      <w:r w:rsidR="00F156F3">
        <w:rPr>
          <w:rFonts w:ascii="Arial" w:eastAsia="Times New Roman" w:hAnsi="Arial" w:cs="Arial"/>
          <w:bCs/>
          <w:color w:val="000000"/>
          <w:sz w:val="24"/>
          <w:szCs w:val="24"/>
        </w:rPr>
        <w:t xml:space="preserve">that ASCs are not subject to the same quality reporting requirements as hospitals.  </w:t>
      </w:r>
    </w:p>
    <w:p w:rsidR="00950ABD" w:rsidRDefault="00950ABD" w:rsidP="001A3E06">
      <w:pPr>
        <w:spacing w:after="0" w:line="240" w:lineRule="auto"/>
        <w:rPr>
          <w:rFonts w:ascii="Arial" w:eastAsia="Times New Roman" w:hAnsi="Arial" w:cs="Arial"/>
          <w:bCs/>
          <w:color w:val="000000"/>
          <w:sz w:val="24"/>
          <w:szCs w:val="24"/>
        </w:rPr>
      </w:pPr>
    </w:p>
    <w:p w:rsidR="0056625D" w:rsidRPr="0056625D" w:rsidRDefault="00F156F3" w:rsidP="001A3E06">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While we have no reason to doubt that ASCs are capable of meeting high standards of quality of care, we find it particularly troubling that CMS has not begun to develop a mandatory quality reporting program</w:t>
      </w:r>
      <w:r w:rsidR="00950ABD">
        <w:rPr>
          <w:rFonts w:ascii="Arial" w:eastAsia="Times New Roman" w:hAnsi="Arial" w:cs="Arial"/>
          <w:bCs/>
          <w:color w:val="000000"/>
          <w:sz w:val="24"/>
          <w:szCs w:val="24"/>
        </w:rPr>
        <w:t xml:space="preserve"> </w:t>
      </w:r>
      <w:r>
        <w:rPr>
          <w:rFonts w:ascii="Arial" w:eastAsia="Times New Roman" w:hAnsi="Arial" w:cs="Arial"/>
          <w:bCs/>
          <w:color w:val="000000"/>
          <w:sz w:val="24"/>
          <w:szCs w:val="24"/>
        </w:rPr>
        <w:t xml:space="preserve">for these facilities, and urge the agency to do so as expeditiously as possible.  </w:t>
      </w:r>
    </w:p>
    <w:p w:rsidR="0085049D" w:rsidRDefault="0085049D" w:rsidP="001A3E06">
      <w:pPr>
        <w:spacing w:after="0" w:line="240" w:lineRule="auto"/>
        <w:rPr>
          <w:rFonts w:ascii="Arial" w:eastAsia="Times New Roman" w:hAnsi="Arial" w:cs="Arial"/>
          <w:b/>
          <w:bCs/>
          <w:color w:val="000000"/>
          <w:sz w:val="24"/>
          <w:szCs w:val="24"/>
        </w:rPr>
      </w:pPr>
    </w:p>
    <w:p w:rsidR="0056625D" w:rsidRPr="00F351A1" w:rsidRDefault="00F351A1" w:rsidP="001A3E06">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III.</w:t>
      </w:r>
      <w:r>
        <w:rPr>
          <w:rFonts w:ascii="Arial" w:eastAsia="Times New Roman" w:hAnsi="Arial" w:cs="Arial"/>
          <w:b/>
          <w:bCs/>
          <w:color w:val="000000"/>
          <w:sz w:val="24"/>
          <w:szCs w:val="24"/>
        </w:rPr>
        <w:tab/>
        <w:t>Conclusion</w:t>
      </w:r>
    </w:p>
    <w:p w:rsidR="00915BE2" w:rsidRPr="007C7B81" w:rsidRDefault="001B0066" w:rsidP="00EE6ED2">
      <w:pPr>
        <w:spacing w:after="0" w:line="240" w:lineRule="auto"/>
        <w:rPr>
          <w:rFonts w:ascii="Arial" w:eastAsia="Times New Roman" w:hAnsi="Arial" w:cs="Arial"/>
          <w:b/>
          <w:color w:val="000000"/>
          <w:sz w:val="24"/>
          <w:szCs w:val="24"/>
        </w:rPr>
      </w:pPr>
      <w:r w:rsidRPr="001B0066">
        <w:rPr>
          <w:rFonts w:ascii="Times New Roman" w:eastAsia="Times New Roman" w:hAnsi="Times New Roman" w:cs="Times New Roman"/>
          <w:sz w:val="24"/>
          <w:szCs w:val="24"/>
        </w:rPr>
        <w:br/>
      </w:r>
      <w:r w:rsidRPr="001B0066">
        <w:rPr>
          <w:rFonts w:ascii="Arial" w:eastAsia="Times New Roman" w:hAnsi="Arial" w:cs="Arial"/>
          <w:color w:val="000000"/>
          <w:sz w:val="24"/>
          <w:szCs w:val="24"/>
        </w:rPr>
        <w:t>We appreciate the opportunity to comment on this important rule.  If we can be of further assistance, or if you have any questions or comments, please feel free to contact Eileen Carlson, RN, JD, Associate Director, ANA Government Affairs</w:t>
      </w:r>
      <w:r w:rsidR="00F351A1">
        <w:rPr>
          <w:rFonts w:ascii="Arial" w:eastAsia="Times New Roman" w:hAnsi="Arial" w:cs="Arial"/>
          <w:color w:val="000000"/>
          <w:sz w:val="24"/>
          <w:szCs w:val="24"/>
        </w:rPr>
        <w:t>,</w:t>
      </w:r>
      <w:r w:rsidRPr="001B0066">
        <w:rPr>
          <w:rFonts w:ascii="Arial" w:eastAsia="Times New Roman" w:hAnsi="Arial" w:cs="Arial"/>
          <w:color w:val="000000"/>
          <w:sz w:val="24"/>
          <w:szCs w:val="24"/>
        </w:rPr>
        <w:t xml:space="preserve"> at </w:t>
      </w:r>
      <w:hyperlink r:id="rId9" w:history="1">
        <w:r w:rsidRPr="001B0066">
          <w:rPr>
            <w:rFonts w:ascii="Arial" w:eastAsia="Times New Roman" w:hAnsi="Arial" w:cs="Arial"/>
            <w:color w:val="0000FF"/>
            <w:sz w:val="24"/>
            <w:szCs w:val="24"/>
            <w:u w:val="single"/>
          </w:rPr>
          <w:t>Eileen.carlson@ana.org</w:t>
        </w:r>
      </w:hyperlink>
      <w:r w:rsidRPr="001B0066">
        <w:rPr>
          <w:rFonts w:ascii="Arial" w:eastAsia="Times New Roman" w:hAnsi="Arial" w:cs="Arial"/>
          <w:color w:val="000000"/>
          <w:sz w:val="24"/>
          <w:szCs w:val="24"/>
        </w:rPr>
        <w:t xml:space="preserve"> or 301-628-5093.</w:t>
      </w:r>
      <w:r w:rsidRPr="001B0066">
        <w:rPr>
          <w:rFonts w:ascii="Times New Roman" w:eastAsia="Times New Roman" w:hAnsi="Times New Roman" w:cs="Times New Roman"/>
          <w:sz w:val="24"/>
          <w:szCs w:val="24"/>
        </w:rPr>
        <w:br/>
      </w:r>
      <w:r w:rsidRPr="001B0066">
        <w:rPr>
          <w:rFonts w:ascii="Times New Roman" w:eastAsia="Times New Roman" w:hAnsi="Times New Roman" w:cs="Times New Roman"/>
          <w:sz w:val="24"/>
          <w:szCs w:val="24"/>
        </w:rPr>
        <w:br/>
      </w:r>
      <w:r w:rsidRPr="001B0066">
        <w:rPr>
          <w:rFonts w:ascii="Arial" w:eastAsia="Times New Roman" w:hAnsi="Arial" w:cs="Arial"/>
          <w:color w:val="000000"/>
          <w:sz w:val="24"/>
          <w:szCs w:val="24"/>
        </w:rPr>
        <w:t>Sincerel</w:t>
      </w:r>
      <w:r w:rsidR="005E11A0">
        <w:rPr>
          <w:rFonts w:ascii="Arial" w:eastAsia="Times New Roman" w:hAnsi="Arial" w:cs="Arial"/>
          <w:color w:val="000000"/>
          <w:sz w:val="24"/>
          <w:szCs w:val="24"/>
        </w:rPr>
        <w:t>y,</w:t>
      </w:r>
      <w:r w:rsidRPr="001B0066">
        <w:rPr>
          <w:rFonts w:ascii="Times New Roman" w:eastAsia="Times New Roman" w:hAnsi="Times New Roman" w:cs="Times New Roman"/>
          <w:sz w:val="24"/>
          <w:szCs w:val="24"/>
        </w:rPr>
        <w:br/>
      </w:r>
      <w:r w:rsidRPr="001B0066">
        <w:rPr>
          <w:rFonts w:ascii="Times New Roman" w:eastAsia="Times New Roman" w:hAnsi="Times New Roman" w:cs="Times New Roman"/>
          <w:sz w:val="24"/>
          <w:szCs w:val="24"/>
        </w:rPr>
        <w:br/>
      </w:r>
      <w:r w:rsidR="00021322" w:rsidRPr="00021322">
        <w:rPr>
          <w:rFonts w:ascii="Times New Roman" w:eastAsia="Times New Roman" w:hAnsi="Times New Roman" w:cs="Times New Roman"/>
          <w:sz w:val="24"/>
          <w:szCs w:val="24"/>
        </w:rPr>
        <w:drawing>
          <wp:inline distT="0" distB="0" distL="0" distR="0">
            <wp:extent cx="2371725" cy="457200"/>
            <wp:effectExtent l="19050" t="0" r="9525" b="0"/>
            <wp:docPr id="2"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371725" cy="457200"/>
                    </a:xfrm>
                    <a:prstGeom prst="rect">
                      <a:avLst/>
                    </a:prstGeom>
                    <a:noFill/>
                    <a:ln w="9525">
                      <a:noFill/>
                      <a:miter lim="800000"/>
                      <a:headEnd/>
                      <a:tailEnd/>
                    </a:ln>
                  </pic:spPr>
                </pic:pic>
              </a:graphicData>
            </a:graphic>
          </wp:inline>
        </w:drawing>
      </w:r>
      <w:r w:rsidRPr="001B0066">
        <w:rPr>
          <w:rFonts w:ascii="Times New Roman" w:eastAsia="Times New Roman" w:hAnsi="Times New Roman" w:cs="Times New Roman"/>
          <w:sz w:val="24"/>
          <w:szCs w:val="24"/>
        </w:rPr>
        <w:br/>
      </w:r>
      <w:r w:rsidRPr="001B0066">
        <w:rPr>
          <w:rFonts w:ascii="Times New Roman" w:eastAsia="Times New Roman" w:hAnsi="Times New Roman" w:cs="Times New Roman"/>
          <w:sz w:val="24"/>
          <w:szCs w:val="24"/>
        </w:rPr>
        <w:br/>
      </w:r>
      <w:r w:rsidRPr="001B0066">
        <w:rPr>
          <w:rFonts w:ascii="Arial" w:eastAsia="Times New Roman" w:hAnsi="Arial" w:cs="Arial"/>
          <w:color w:val="000000"/>
          <w:sz w:val="24"/>
          <w:szCs w:val="24"/>
        </w:rPr>
        <w:t>Mary Jean Schumann, MSN, MBA, RN, CPNP</w:t>
      </w:r>
      <w:r w:rsidRPr="001B0066">
        <w:rPr>
          <w:rFonts w:ascii="Times New Roman" w:eastAsia="Times New Roman" w:hAnsi="Times New Roman" w:cs="Times New Roman"/>
          <w:sz w:val="24"/>
          <w:szCs w:val="24"/>
        </w:rPr>
        <w:br/>
      </w:r>
      <w:r w:rsidRPr="001B0066">
        <w:rPr>
          <w:rFonts w:ascii="Arial" w:eastAsia="Times New Roman" w:hAnsi="Arial" w:cs="Arial"/>
          <w:color w:val="000000"/>
          <w:sz w:val="24"/>
          <w:szCs w:val="24"/>
        </w:rPr>
        <w:t>Chief Programs Officer</w:t>
      </w:r>
      <w:r w:rsidRPr="001B0066">
        <w:rPr>
          <w:rFonts w:ascii="Times New Roman" w:eastAsia="Times New Roman" w:hAnsi="Times New Roman" w:cs="Times New Roman"/>
          <w:sz w:val="24"/>
          <w:szCs w:val="24"/>
        </w:rPr>
        <w:br/>
      </w:r>
      <w:r w:rsidRPr="001B0066">
        <w:rPr>
          <w:rFonts w:ascii="Arial" w:eastAsia="Times New Roman" w:hAnsi="Arial" w:cs="Arial"/>
          <w:color w:val="000000"/>
          <w:sz w:val="24"/>
          <w:szCs w:val="24"/>
        </w:rPr>
        <w:t>American Nurses Association</w:t>
      </w:r>
    </w:p>
    <w:sectPr w:rsidR="00915BE2" w:rsidRPr="007C7B81" w:rsidSect="004C5FE5">
      <w:headerReference w:type="default" r:id="rId11"/>
      <w:pgSz w:w="12240" w:h="15840"/>
      <w:pgMar w:top="900" w:right="1440" w:bottom="63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DCF" w:rsidRDefault="00376DCF" w:rsidP="00703C29">
      <w:pPr>
        <w:spacing w:after="0" w:line="240" w:lineRule="auto"/>
      </w:pPr>
      <w:r>
        <w:separator/>
      </w:r>
    </w:p>
  </w:endnote>
  <w:endnote w:type="continuationSeparator" w:id="0">
    <w:p w:rsidR="00376DCF" w:rsidRDefault="00376DCF" w:rsidP="00703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DCF" w:rsidRDefault="00376DCF" w:rsidP="00703C29">
      <w:pPr>
        <w:spacing w:after="0" w:line="240" w:lineRule="auto"/>
      </w:pPr>
      <w:r>
        <w:separator/>
      </w:r>
    </w:p>
  </w:footnote>
  <w:footnote w:type="continuationSeparator" w:id="0">
    <w:p w:rsidR="00376DCF" w:rsidRDefault="00376DCF" w:rsidP="00703C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DCF" w:rsidRDefault="00376DCF">
    <w:pPr>
      <w:pStyle w:val="Header"/>
    </w:pPr>
    <w:r>
      <w:t>American Nurses Association</w:t>
    </w:r>
    <w:r>
      <w:tab/>
    </w:r>
    <w:r>
      <w:tab/>
      <w:t>August 31, 2010</w:t>
    </w:r>
  </w:p>
  <w:p w:rsidR="00376DCF" w:rsidRDefault="00376DCF">
    <w:pPr>
      <w:pStyle w:val="Header"/>
    </w:pPr>
    <w:r>
      <w:tab/>
    </w:r>
    <w:r>
      <w:tab/>
      <w:t xml:space="preserve">Page </w:t>
    </w:r>
    <w:fldSimple w:instr=" PAGE   \* MERGEFORMAT ">
      <w:r w:rsidR="00021322">
        <w:rPr>
          <w:noProof/>
        </w:rPr>
        <w:t>6</w:t>
      </w:r>
    </w:fldSimple>
  </w:p>
  <w:p w:rsidR="00376DCF" w:rsidRDefault="00376D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52E89"/>
    <w:multiLevelType w:val="hybridMultilevel"/>
    <w:tmpl w:val="3212606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EC30AB"/>
    <w:multiLevelType w:val="hybridMultilevel"/>
    <w:tmpl w:val="97121F66"/>
    <w:lvl w:ilvl="0" w:tplc="E30A7450">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F31F53"/>
    <w:multiLevelType w:val="hybridMultilevel"/>
    <w:tmpl w:val="37CCF4C4"/>
    <w:lvl w:ilvl="0" w:tplc="A10CC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606342"/>
    <w:multiLevelType w:val="hybridMultilevel"/>
    <w:tmpl w:val="74568A28"/>
    <w:lvl w:ilvl="0" w:tplc="31784EEE">
      <w:start w:val="1"/>
      <w:numFmt w:val="decimal"/>
      <w:lvlText w:val="%1."/>
      <w:lvlJc w:val="left"/>
      <w:pPr>
        <w:ind w:left="1080" w:hanging="360"/>
      </w:pPr>
      <w:rPr>
        <w:rFonts w:eastAsia="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0636960"/>
    <w:multiLevelType w:val="hybridMultilevel"/>
    <w:tmpl w:val="96DE4534"/>
    <w:lvl w:ilvl="0" w:tplc="90CA3B20">
      <w:start w:val="1"/>
      <w:numFmt w:val="decimal"/>
      <w:lvlText w:val="%1."/>
      <w:lvlJc w:val="left"/>
      <w:pPr>
        <w:ind w:left="720" w:hanging="360"/>
      </w:pPr>
      <w:rPr>
        <w:rFonts w:eastAsia="Times New Roman" w:hint="default"/>
        <w:b/>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C3315E"/>
    <w:multiLevelType w:val="hybridMultilevel"/>
    <w:tmpl w:val="C7E099F0"/>
    <w:lvl w:ilvl="0" w:tplc="6C8CC9AE">
      <w:start w:val="1"/>
      <w:numFmt w:val="upperLetter"/>
      <w:lvlText w:val="(%1)"/>
      <w:lvlJc w:val="left"/>
      <w:pPr>
        <w:ind w:left="1155" w:hanging="39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54256117"/>
    <w:multiLevelType w:val="hybridMultilevel"/>
    <w:tmpl w:val="72FED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C974F62"/>
    <w:multiLevelType w:val="hybridMultilevel"/>
    <w:tmpl w:val="3082363A"/>
    <w:lvl w:ilvl="0" w:tplc="6750DF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FF7527"/>
    <w:multiLevelType w:val="hybridMultilevel"/>
    <w:tmpl w:val="3212606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077FDA"/>
    <w:multiLevelType w:val="hybridMultilevel"/>
    <w:tmpl w:val="3A60F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E46854"/>
    <w:multiLevelType w:val="hybridMultilevel"/>
    <w:tmpl w:val="3A60F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7"/>
  </w:num>
  <w:num w:numId="5">
    <w:abstractNumId w:val="2"/>
  </w:num>
  <w:num w:numId="6">
    <w:abstractNumId w:val="4"/>
  </w:num>
  <w:num w:numId="7">
    <w:abstractNumId w:val="0"/>
  </w:num>
  <w:num w:numId="8">
    <w:abstractNumId w:val="3"/>
  </w:num>
  <w:num w:numId="9">
    <w:abstractNumId w:val="1"/>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B0066"/>
    <w:rsid w:val="000103FA"/>
    <w:rsid w:val="00011181"/>
    <w:rsid w:val="00021322"/>
    <w:rsid w:val="00036186"/>
    <w:rsid w:val="0006593C"/>
    <w:rsid w:val="000A48BE"/>
    <w:rsid w:val="00161585"/>
    <w:rsid w:val="001A3E06"/>
    <w:rsid w:val="001B0066"/>
    <w:rsid w:val="001E3870"/>
    <w:rsid w:val="002A415B"/>
    <w:rsid w:val="002D1C49"/>
    <w:rsid w:val="002F2675"/>
    <w:rsid w:val="002F5EFC"/>
    <w:rsid w:val="002F6112"/>
    <w:rsid w:val="0030717C"/>
    <w:rsid w:val="00376DCF"/>
    <w:rsid w:val="004C2FE7"/>
    <w:rsid w:val="004C5FE5"/>
    <w:rsid w:val="00500B6A"/>
    <w:rsid w:val="0056625D"/>
    <w:rsid w:val="005E11A0"/>
    <w:rsid w:val="00653A04"/>
    <w:rsid w:val="00684C12"/>
    <w:rsid w:val="006C4443"/>
    <w:rsid w:val="00703C29"/>
    <w:rsid w:val="007C7B81"/>
    <w:rsid w:val="007E0713"/>
    <w:rsid w:val="007E3560"/>
    <w:rsid w:val="00814A78"/>
    <w:rsid w:val="0085049D"/>
    <w:rsid w:val="008A78A7"/>
    <w:rsid w:val="008C48F5"/>
    <w:rsid w:val="00915BE2"/>
    <w:rsid w:val="009362AE"/>
    <w:rsid w:val="00950ABD"/>
    <w:rsid w:val="009D7546"/>
    <w:rsid w:val="009D7BE0"/>
    <w:rsid w:val="00A206A1"/>
    <w:rsid w:val="00A45C00"/>
    <w:rsid w:val="00AF112A"/>
    <w:rsid w:val="00B15F23"/>
    <w:rsid w:val="00B54605"/>
    <w:rsid w:val="00C01658"/>
    <w:rsid w:val="00C04C8E"/>
    <w:rsid w:val="00C21B01"/>
    <w:rsid w:val="00CB592D"/>
    <w:rsid w:val="00D53980"/>
    <w:rsid w:val="00D9208E"/>
    <w:rsid w:val="00DC1EFC"/>
    <w:rsid w:val="00DD6FB2"/>
    <w:rsid w:val="00E86C69"/>
    <w:rsid w:val="00EA73E7"/>
    <w:rsid w:val="00EB01F7"/>
    <w:rsid w:val="00EE6ED2"/>
    <w:rsid w:val="00F07BF3"/>
    <w:rsid w:val="00F156F3"/>
    <w:rsid w:val="00F351A1"/>
    <w:rsid w:val="00F906E9"/>
    <w:rsid w:val="00F92553"/>
    <w:rsid w:val="00FD5708"/>
    <w:rsid w:val="00FF2D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B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B0066"/>
    <w:rPr>
      <w:color w:val="0000FF"/>
      <w:u w:val="single"/>
    </w:rPr>
  </w:style>
  <w:style w:type="paragraph" w:styleId="NormalWeb">
    <w:name w:val="Normal (Web)"/>
    <w:basedOn w:val="Normal"/>
    <w:uiPriority w:val="99"/>
    <w:unhideWhenUsed/>
    <w:rsid w:val="001B006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B0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066"/>
    <w:rPr>
      <w:rFonts w:ascii="Tahoma" w:hAnsi="Tahoma" w:cs="Tahoma"/>
      <w:sz w:val="16"/>
      <w:szCs w:val="16"/>
    </w:rPr>
  </w:style>
  <w:style w:type="paragraph" w:styleId="ListParagraph">
    <w:name w:val="List Paragraph"/>
    <w:basedOn w:val="Normal"/>
    <w:uiPriority w:val="34"/>
    <w:qFormat/>
    <w:rsid w:val="00DD6FB2"/>
    <w:pPr>
      <w:ind w:left="720"/>
      <w:contextualSpacing/>
    </w:pPr>
  </w:style>
  <w:style w:type="paragraph" w:styleId="FootnoteText">
    <w:name w:val="footnote text"/>
    <w:basedOn w:val="Normal"/>
    <w:link w:val="FootnoteTextChar"/>
    <w:rsid w:val="00703C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03C29"/>
    <w:rPr>
      <w:rFonts w:ascii="Times New Roman" w:eastAsia="Times New Roman" w:hAnsi="Times New Roman" w:cs="Times New Roman"/>
      <w:sz w:val="20"/>
      <w:szCs w:val="20"/>
    </w:rPr>
  </w:style>
  <w:style w:type="character" w:styleId="FootnoteReference">
    <w:name w:val="footnote reference"/>
    <w:basedOn w:val="DefaultParagraphFont"/>
    <w:rsid w:val="00703C29"/>
    <w:rPr>
      <w:vertAlign w:val="superscript"/>
    </w:rPr>
  </w:style>
  <w:style w:type="character" w:styleId="Emphasis">
    <w:name w:val="Emphasis"/>
    <w:basedOn w:val="DefaultParagraphFont"/>
    <w:qFormat/>
    <w:rsid w:val="00703C29"/>
    <w:rPr>
      <w:i/>
      <w:iCs/>
    </w:rPr>
  </w:style>
  <w:style w:type="character" w:styleId="Strong">
    <w:name w:val="Strong"/>
    <w:basedOn w:val="DefaultParagraphFont"/>
    <w:uiPriority w:val="22"/>
    <w:qFormat/>
    <w:rsid w:val="00703C29"/>
    <w:rPr>
      <w:b/>
      <w:bCs/>
    </w:rPr>
  </w:style>
  <w:style w:type="paragraph" w:styleId="EndnoteText">
    <w:name w:val="endnote text"/>
    <w:basedOn w:val="Normal"/>
    <w:link w:val="EndnoteTextChar"/>
    <w:rsid w:val="00EB01F7"/>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rsid w:val="00EB01F7"/>
    <w:rPr>
      <w:rFonts w:ascii="Arial" w:eastAsia="Times New Roman" w:hAnsi="Arial" w:cs="Times New Roman"/>
      <w:sz w:val="20"/>
      <w:szCs w:val="20"/>
    </w:rPr>
  </w:style>
  <w:style w:type="character" w:styleId="EndnoteReference">
    <w:name w:val="endnote reference"/>
    <w:basedOn w:val="DefaultParagraphFont"/>
    <w:rsid w:val="00EB01F7"/>
    <w:rPr>
      <w:vertAlign w:val="superscript"/>
    </w:rPr>
  </w:style>
  <w:style w:type="paragraph" w:styleId="Header">
    <w:name w:val="header"/>
    <w:basedOn w:val="Normal"/>
    <w:link w:val="HeaderChar"/>
    <w:uiPriority w:val="99"/>
    <w:unhideWhenUsed/>
    <w:rsid w:val="00F35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1A1"/>
  </w:style>
  <w:style w:type="paragraph" w:styleId="Footer">
    <w:name w:val="footer"/>
    <w:basedOn w:val="Normal"/>
    <w:link w:val="FooterChar"/>
    <w:uiPriority w:val="99"/>
    <w:semiHidden/>
    <w:unhideWhenUsed/>
    <w:rsid w:val="00F351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51A1"/>
  </w:style>
</w:styles>
</file>

<file path=word/webSettings.xml><?xml version="1.0" encoding="utf-8"?>
<w:webSettings xmlns:r="http://schemas.openxmlformats.org/officeDocument/2006/relationships" xmlns:w="http://schemas.openxmlformats.org/wordprocessingml/2006/main">
  <w:divs>
    <w:div w:id="85743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Eileen.carlson@a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2401</Words>
  <Characters>13691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American Nurses Association</Company>
  <LinksUpToDate>false</LinksUpToDate>
  <CharactersWithSpaces>16060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Katie.Brewer</dc:creator>
  <cp:keywords/>
  <dc:description/>
  <cp:lastModifiedBy>Eileen.Carlson</cp:lastModifiedBy>
  <cp:revision>3</cp:revision>
  <cp:lastPrinted>2010-08-31T14:39:00Z</cp:lastPrinted>
  <dcterms:created xsi:type="dcterms:W3CDTF">2010-08-31T14:24:00Z</dcterms:created>
  <dcterms:modified xsi:type="dcterms:W3CDTF">2010-08-31T14:40:00Z</dcterms:modified>
</cp:coreProperties>
</file>